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9A3B3" w14:textId="606C01A5" w:rsidR="008D281D" w:rsidRPr="001E45DE" w:rsidRDefault="008D281D" w:rsidP="00DB53C1">
      <w:pPr>
        <w:tabs>
          <w:tab w:val="left" w:pos="3024"/>
          <w:tab w:val="center" w:pos="4680"/>
        </w:tabs>
        <w:autoSpaceDE w:val="0"/>
        <w:autoSpaceDN w:val="0"/>
        <w:adjustRightInd w:val="0"/>
        <w:spacing w:line="276" w:lineRule="auto"/>
        <w:jc w:val="center"/>
        <w:rPr>
          <w:rFonts w:ascii="Arial" w:eastAsia="Calibri" w:hAnsi="Arial" w:cs="Arial"/>
          <w:b/>
          <w:bCs/>
          <w:sz w:val="23"/>
          <w:szCs w:val="23"/>
        </w:rPr>
      </w:pPr>
      <w:r w:rsidRPr="001E45DE">
        <w:rPr>
          <w:rFonts w:ascii="Arial" w:eastAsia="Calibri" w:hAnsi="Arial" w:cs="Arial"/>
          <w:b/>
          <w:bCs/>
          <w:sz w:val="23"/>
          <w:szCs w:val="23"/>
        </w:rPr>
        <w:t>Working Paper</w:t>
      </w:r>
      <w:r w:rsidR="00DB53C1">
        <w:rPr>
          <w:rFonts w:ascii="Arial" w:eastAsia="Calibri" w:hAnsi="Arial" w:cs="Arial"/>
          <w:b/>
          <w:bCs/>
          <w:sz w:val="23"/>
          <w:szCs w:val="23"/>
        </w:rPr>
        <w:t xml:space="preserve"> #90</w:t>
      </w:r>
    </w:p>
    <w:p w14:paraId="5541D430" w14:textId="77777777" w:rsidR="00DB53C1" w:rsidRDefault="00DB53C1" w:rsidP="00DB53C1">
      <w:pPr>
        <w:autoSpaceDE w:val="0"/>
        <w:autoSpaceDN w:val="0"/>
        <w:adjustRightInd w:val="0"/>
        <w:spacing w:line="276" w:lineRule="auto"/>
        <w:jc w:val="center"/>
        <w:rPr>
          <w:rFonts w:eastAsia="Calibri"/>
          <w:b/>
          <w:bCs/>
        </w:rPr>
      </w:pPr>
    </w:p>
    <w:p w14:paraId="59761BB7" w14:textId="77777777" w:rsidR="00DB53C1" w:rsidRDefault="00DB53C1" w:rsidP="00DB53C1">
      <w:pPr>
        <w:autoSpaceDE w:val="0"/>
        <w:autoSpaceDN w:val="0"/>
        <w:adjustRightInd w:val="0"/>
        <w:spacing w:line="276" w:lineRule="auto"/>
        <w:jc w:val="center"/>
        <w:rPr>
          <w:rFonts w:eastAsia="Calibri"/>
          <w:b/>
          <w:bCs/>
        </w:rPr>
      </w:pPr>
    </w:p>
    <w:p w14:paraId="1FD4BF1A" w14:textId="37187D5D" w:rsidR="008D281D" w:rsidRPr="004140BA" w:rsidRDefault="008D281D" w:rsidP="00DB53C1">
      <w:pPr>
        <w:spacing w:line="276" w:lineRule="auto"/>
        <w:contextualSpacing/>
        <w:jc w:val="center"/>
        <w:rPr>
          <w:rFonts w:ascii="Arial" w:eastAsia="Calibri" w:hAnsi="Arial" w:cs="Arial"/>
          <w:b/>
          <w:bCs/>
        </w:rPr>
      </w:pPr>
      <w:r w:rsidRPr="004140BA">
        <w:rPr>
          <w:rFonts w:ascii="Arial" w:hAnsi="Arial" w:cs="Arial"/>
          <w:b/>
        </w:rPr>
        <w:t>Exploring the Impact of Energy Efficiency as a Carbon Mitigation</w:t>
      </w:r>
      <w:r w:rsidR="004140BA" w:rsidRPr="004140BA">
        <w:rPr>
          <w:rFonts w:ascii="Arial" w:hAnsi="Arial" w:cs="Arial"/>
          <w:b/>
        </w:rPr>
        <w:t xml:space="preserve"> Strategy</w:t>
      </w:r>
    </w:p>
    <w:p w14:paraId="3FB405D0" w14:textId="77777777" w:rsidR="008D281D" w:rsidRPr="004140BA" w:rsidRDefault="008D281D" w:rsidP="00DB53C1">
      <w:pPr>
        <w:spacing w:line="276" w:lineRule="auto"/>
        <w:jc w:val="center"/>
        <w:outlineLvl w:val="0"/>
        <w:rPr>
          <w:rFonts w:ascii="Arial" w:hAnsi="Arial" w:cs="Arial"/>
        </w:rPr>
      </w:pPr>
      <w:r>
        <w:rPr>
          <w:rFonts w:ascii="Arial" w:eastAsia="Calibri" w:hAnsi="Arial" w:cs="Arial"/>
          <w:b/>
        </w:rPr>
        <w:t xml:space="preserve"> </w:t>
      </w:r>
      <w:r w:rsidRPr="004140BA">
        <w:rPr>
          <w:rFonts w:ascii="Arial" w:hAnsi="Arial" w:cs="Arial"/>
        </w:rPr>
        <w:t xml:space="preserve">Marilyn A. Brown, </w:t>
      </w:r>
      <w:proofErr w:type="spellStart"/>
      <w:r w:rsidRPr="004140BA">
        <w:rPr>
          <w:rFonts w:ascii="Arial" w:hAnsi="Arial" w:cs="Arial"/>
        </w:rPr>
        <w:t>Gyungwon</w:t>
      </w:r>
      <w:proofErr w:type="spellEnd"/>
      <w:r w:rsidRPr="004140BA">
        <w:rPr>
          <w:rFonts w:ascii="Arial" w:hAnsi="Arial" w:cs="Arial"/>
        </w:rPr>
        <w:t xml:space="preserve"> Kim, and Alexander M. Smith</w:t>
      </w:r>
      <w:bookmarkStart w:id="0" w:name="_GoBack"/>
      <w:bookmarkEnd w:id="0"/>
    </w:p>
    <w:p w14:paraId="784FCD55" w14:textId="77777777" w:rsidR="008D281D" w:rsidRPr="004140BA" w:rsidRDefault="008D281D" w:rsidP="00DB53C1">
      <w:pPr>
        <w:spacing w:line="276" w:lineRule="auto"/>
        <w:jc w:val="center"/>
        <w:outlineLvl w:val="0"/>
        <w:rPr>
          <w:rFonts w:ascii="Arial" w:eastAsia="MS Mincho" w:hAnsi="Arial" w:cs="Arial"/>
        </w:rPr>
      </w:pPr>
      <w:r w:rsidRPr="004140BA">
        <w:rPr>
          <w:rFonts w:ascii="Arial" w:hAnsi="Arial" w:cs="Arial"/>
        </w:rPr>
        <w:t>Georgia Institute of Technology</w:t>
      </w:r>
    </w:p>
    <w:p w14:paraId="2C8920FE" w14:textId="77777777" w:rsidR="008D281D" w:rsidRPr="009F058F" w:rsidRDefault="008D281D" w:rsidP="00DB53C1">
      <w:pPr>
        <w:spacing w:line="276" w:lineRule="auto"/>
        <w:contextualSpacing/>
        <w:rPr>
          <w:rFonts w:ascii="Arial" w:eastAsia="Calibri" w:hAnsi="Arial" w:cs="Arial"/>
          <w:b/>
          <w:sz w:val="18"/>
        </w:rPr>
      </w:pPr>
    </w:p>
    <w:p w14:paraId="185EE20D" w14:textId="281BCFD2" w:rsidR="008D281D" w:rsidRDefault="00DB53C1" w:rsidP="00DB53C1">
      <w:pPr>
        <w:tabs>
          <w:tab w:val="left" w:pos="1772"/>
          <w:tab w:val="center" w:pos="4680"/>
        </w:tabs>
        <w:autoSpaceDE w:val="0"/>
        <w:autoSpaceDN w:val="0"/>
        <w:adjustRightInd w:val="0"/>
        <w:spacing w:line="276" w:lineRule="auto"/>
        <w:jc w:val="center"/>
        <w:rPr>
          <w:rFonts w:ascii="Arial" w:eastAsia="Calibri" w:hAnsi="Arial" w:cs="Arial"/>
          <w:b/>
          <w:bCs/>
          <w:szCs w:val="23"/>
        </w:rPr>
      </w:pPr>
      <w:r>
        <w:rPr>
          <w:rFonts w:ascii="Arial" w:eastAsia="Calibri" w:hAnsi="Arial" w:cs="Arial"/>
          <w:b/>
          <w:bCs/>
          <w:szCs w:val="23"/>
        </w:rPr>
        <w:t>April</w:t>
      </w:r>
      <w:r w:rsidR="008D281D">
        <w:rPr>
          <w:rFonts w:ascii="Arial" w:eastAsia="Calibri" w:hAnsi="Arial" w:cs="Arial"/>
          <w:b/>
          <w:bCs/>
          <w:szCs w:val="23"/>
        </w:rPr>
        <w:t xml:space="preserve"> 2017</w:t>
      </w:r>
    </w:p>
    <w:p w14:paraId="310DDFB3" w14:textId="77777777" w:rsidR="008D281D" w:rsidRPr="001E45DE" w:rsidRDefault="008D281D" w:rsidP="00DB53C1">
      <w:pPr>
        <w:tabs>
          <w:tab w:val="left" w:pos="1772"/>
          <w:tab w:val="center" w:pos="4680"/>
        </w:tabs>
        <w:autoSpaceDE w:val="0"/>
        <w:autoSpaceDN w:val="0"/>
        <w:adjustRightInd w:val="0"/>
        <w:spacing w:line="276" w:lineRule="auto"/>
        <w:jc w:val="center"/>
        <w:rPr>
          <w:rFonts w:ascii="Arial" w:eastAsia="Calibri" w:hAnsi="Arial" w:cs="Arial"/>
          <w:b/>
          <w:bCs/>
          <w:szCs w:val="23"/>
        </w:rPr>
      </w:pPr>
    </w:p>
    <w:p w14:paraId="4A317BF6" w14:textId="676D6442" w:rsidR="004140BA" w:rsidRDefault="008D281D" w:rsidP="004706DA">
      <w:pPr>
        <w:pBdr>
          <w:top w:val="single" w:sz="4" w:space="1" w:color="auto"/>
          <w:left w:val="single" w:sz="4" w:space="0" w:color="auto"/>
          <w:bottom w:val="single" w:sz="4" w:space="0" w:color="auto"/>
          <w:right w:val="single" w:sz="4" w:space="9" w:color="auto"/>
        </w:pBdr>
        <w:spacing w:line="276" w:lineRule="auto"/>
        <w:ind w:left="360" w:right="360"/>
        <w:jc w:val="center"/>
        <w:rPr>
          <w:rFonts w:ascii="Arial" w:eastAsia="Calibri" w:hAnsi="Arial" w:cs="Arial"/>
          <w:b/>
          <w:bCs/>
        </w:rPr>
      </w:pPr>
      <w:r>
        <w:rPr>
          <w:rFonts w:ascii="Arial" w:eastAsia="Calibri" w:hAnsi="Arial" w:cs="Arial"/>
          <w:b/>
          <w:bCs/>
        </w:rPr>
        <w:t>ABSTRACT</w:t>
      </w:r>
    </w:p>
    <w:p w14:paraId="4E007877" w14:textId="77777777" w:rsidR="00DB53C1" w:rsidRPr="00A91781" w:rsidRDefault="00DB53C1" w:rsidP="004706DA">
      <w:pPr>
        <w:pBdr>
          <w:top w:val="single" w:sz="4" w:space="1" w:color="auto"/>
          <w:left w:val="single" w:sz="4" w:space="0" w:color="auto"/>
          <w:bottom w:val="single" w:sz="4" w:space="0" w:color="auto"/>
          <w:right w:val="single" w:sz="4" w:space="9" w:color="auto"/>
        </w:pBdr>
        <w:spacing w:line="276" w:lineRule="auto"/>
        <w:ind w:left="360" w:right="360"/>
        <w:jc w:val="center"/>
        <w:rPr>
          <w:rFonts w:ascii="Arial" w:eastAsia="Calibri" w:hAnsi="Arial" w:cs="Arial"/>
          <w:b/>
          <w:bCs/>
        </w:rPr>
      </w:pPr>
    </w:p>
    <w:p w14:paraId="6D666807" w14:textId="77777777" w:rsidR="008D281D" w:rsidRPr="004140BA" w:rsidRDefault="008D281D" w:rsidP="004706DA">
      <w:pPr>
        <w:pBdr>
          <w:top w:val="single" w:sz="4" w:space="1" w:color="auto"/>
          <w:left w:val="single" w:sz="4" w:space="0" w:color="auto"/>
          <w:bottom w:val="single" w:sz="4" w:space="0" w:color="auto"/>
          <w:right w:val="single" w:sz="4" w:space="9" w:color="auto"/>
        </w:pBdr>
        <w:spacing w:line="276" w:lineRule="auto"/>
        <w:ind w:left="360" w:right="360"/>
        <w:jc w:val="both"/>
        <w:rPr>
          <w:rFonts w:ascii="Arial" w:hAnsi="Arial" w:cs="Arial"/>
        </w:rPr>
      </w:pPr>
      <w:r w:rsidRPr="004140BA">
        <w:rPr>
          <w:rFonts w:ascii="Arial" w:hAnsi="Arial" w:cs="Arial"/>
        </w:rPr>
        <w:t>As temperatures across the globe hit record highs and extreme climate events multiply, interest in least-cost CO</w:t>
      </w:r>
      <w:r w:rsidRPr="004140BA">
        <w:rPr>
          <w:rFonts w:ascii="Arial" w:hAnsi="Arial" w:cs="Arial"/>
          <w:vertAlign w:val="subscript"/>
        </w:rPr>
        <w:t>2</w:t>
      </w:r>
      <w:r w:rsidRPr="004140BA">
        <w:rPr>
          <w:rFonts w:ascii="Arial" w:hAnsi="Arial" w:cs="Arial"/>
        </w:rPr>
        <w:t xml:space="preserve"> mitigation pathways is growing. This paper examines the pros and cons of strengthening demand-side options in strategies to reduce carbon emissions from the U.S. electricity sector. To date, demand-side management in the U.S. power sector has received overly simplistic treatment in energy models. To help fill this gap, we develop a customized version of the National Energy Modeling System to assess a range of demand- and supply-side policy scenarios. This enables four research hypotheses to be tested, related to mitigation costs, investment in new natural gas plants, carbon leakage, and local air pollution.</w:t>
      </w:r>
    </w:p>
    <w:p w14:paraId="789CA594" w14:textId="77777777" w:rsidR="008D281D" w:rsidRPr="004140BA" w:rsidRDefault="008D281D" w:rsidP="004706DA">
      <w:pPr>
        <w:pBdr>
          <w:top w:val="single" w:sz="4" w:space="1" w:color="auto"/>
          <w:left w:val="single" w:sz="4" w:space="0" w:color="auto"/>
          <w:bottom w:val="single" w:sz="4" w:space="0" w:color="auto"/>
          <w:right w:val="single" w:sz="4" w:space="9" w:color="auto"/>
        </w:pBdr>
        <w:spacing w:line="276" w:lineRule="auto"/>
        <w:ind w:left="360" w:right="360"/>
        <w:jc w:val="both"/>
        <w:rPr>
          <w:rFonts w:ascii="Arial" w:hAnsi="Arial" w:cs="Arial"/>
        </w:rPr>
      </w:pPr>
    </w:p>
    <w:p w14:paraId="031A4A85" w14:textId="77489F63" w:rsidR="00DB53C1" w:rsidRPr="004140BA" w:rsidRDefault="008D281D" w:rsidP="004706DA">
      <w:pPr>
        <w:pBdr>
          <w:top w:val="single" w:sz="4" w:space="1" w:color="auto"/>
          <w:left w:val="single" w:sz="4" w:space="0" w:color="auto"/>
          <w:bottom w:val="single" w:sz="4" w:space="0" w:color="auto"/>
          <w:right w:val="single" w:sz="4" w:space="9" w:color="auto"/>
        </w:pBdr>
        <w:spacing w:line="276" w:lineRule="auto"/>
        <w:ind w:left="360" w:right="360"/>
        <w:jc w:val="both"/>
        <w:rPr>
          <w:rFonts w:ascii="Arial" w:hAnsi="Arial" w:cs="Arial"/>
        </w:rPr>
      </w:pPr>
      <w:r w:rsidRPr="004140BA">
        <w:rPr>
          <w:rFonts w:ascii="Arial" w:hAnsi="Arial" w:cs="Arial"/>
        </w:rPr>
        <w:t>We conclude that the clean power transformation can be made more affordable by improving the efficiency of energy utilization. By downscaling the construction of natural gas plants, energy efficiency can also avoid legacy impacts. While strong energy-efficiency policies lower overall CO2 emissions, coal plant retirements can be delayed, postponing associated local air quality benefits. Thus, we illustrate a limitation of single-pollutant policies while also demonstrating the value of co-optimizing demand- and supply-side carbon mitigation options.</w:t>
      </w:r>
    </w:p>
    <w:p w14:paraId="1B27AD23" w14:textId="77777777" w:rsidR="008D281D" w:rsidRDefault="008D281D" w:rsidP="00DB53C1">
      <w:pPr>
        <w:tabs>
          <w:tab w:val="left" w:pos="1772"/>
          <w:tab w:val="center" w:pos="4680"/>
        </w:tabs>
        <w:autoSpaceDE w:val="0"/>
        <w:autoSpaceDN w:val="0"/>
        <w:adjustRightInd w:val="0"/>
        <w:spacing w:line="276" w:lineRule="auto"/>
        <w:jc w:val="right"/>
        <w:rPr>
          <w:rFonts w:ascii="Arial" w:eastAsia="Calibri" w:hAnsi="Arial" w:cs="Arial"/>
          <w:b/>
          <w:bCs/>
          <w:szCs w:val="23"/>
        </w:rPr>
      </w:pPr>
      <w:r>
        <w:rPr>
          <w:rFonts w:ascii="Arial" w:eastAsia="Calibri" w:hAnsi="Arial" w:cs="Arial"/>
          <w:b/>
          <w:bCs/>
          <w:noProof/>
          <w:szCs w:val="23"/>
        </w:rPr>
        <w:drawing>
          <wp:inline distT="0" distB="0" distL="0" distR="0" wp14:anchorId="73831B9B" wp14:editId="07C701CC">
            <wp:extent cx="4737100" cy="7073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0" cy="707390"/>
                    </a:xfrm>
                    <a:prstGeom prst="rect">
                      <a:avLst/>
                    </a:prstGeom>
                    <a:noFill/>
                  </pic:spPr>
                </pic:pic>
              </a:graphicData>
            </a:graphic>
          </wp:inline>
        </w:drawing>
      </w:r>
    </w:p>
    <w:p w14:paraId="5C29D3CE" w14:textId="77777777" w:rsidR="008D281D" w:rsidRPr="001E45DE" w:rsidRDefault="008D281D" w:rsidP="00DB53C1">
      <w:pPr>
        <w:autoSpaceDE w:val="0"/>
        <w:autoSpaceDN w:val="0"/>
        <w:adjustRightInd w:val="0"/>
        <w:spacing w:line="276" w:lineRule="auto"/>
        <w:contextualSpacing/>
        <w:rPr>
          <w:rFonts w:ascii="Arial" w:eastAsia="Calibri" w:hAnsi="Arial" w:cs="Arial"/>
          <w:b/>
          <w:sz w:val="19"/>
          <w:szCs w:val="19"/>
        </w:rPr>
      </w:pPr>
      <w:r w:rsidRPr="001E45DE">
        <w:rPr>
          <w:rFonts w:ascii="Arial" w:eastAsia="Calibri" w:hAnsi="Arial" w:cs="Arial"/>
          <w:b/>
          <w:sz w:val="19"/>
          <w:szCs w:val="19"/>
        </w:rPr>
        <w:t>*Corresp</w:t>
      </w:r>
      <w:r>
        <w:rPr>
          <w:rFonts w:ascii="Arial" w:eastAsia="Calibri" w:hAnsi="Arial" w:cs="Arial"/>
          <w:b/>
          <w:sz w:val="19"/>
          <w:szCs w:val="19"/>
        </w:rPr>
        <w:t>onding author:</w:t>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r>
      <w:r w:rsidRPr="001E45DE">
        <w:rPr>
          <w:rFonts w:ascii="Arial" w:eastAsia="Calibri" w:hAnsi="Arial" w:cs="Arial"/>
          <w:b/>
          <w:sz w:val="19"/>
          <w:szCs w:val="19"/>
        </w:rPr>
        <w:t xml:space="preserve">  </w:t>
      </w:r>
      <w:r>
        <w:rPr>
          <w:rFonts w:ascii="Arial" w:eastAsia="Calibri" w:hAnsi="Arial" w:cs="Arial"/>
          <w:b/>
          <w:sz w:val="19"/>
          <w:szCs w:val="19"/>
        </w:rPr>
        <w:t xml:space="preserve">           </w:t>
      </w:r>
      <w:r>
        <w:rPr>
          <w:rFonts w:ascii="Arial" w:eastAsia="Calibri" w:hAnsi="Arial" w:cs="Arial"/>
          <w:b/>
          <w:sz w:val="19"/>
          <w:szCs w:val="19"/>
        </w:rPr>
        <w:tab/>
        <w:t xml:space="preserve">              </w:t>
      </w:r>
      <w:r w:rsidRPr="001E45DE">
        <w:rPr>
          <w:rFonts w:ascii="Arial" w:eastAsia="Calibri" w:hAnsi="Arial" w:cs="Arial"/>
          <w:b/>
          <w:bCs/>
          <w:sz w:val="19"/>
          <w:szCs w:val="19"/>
        </w:rPr>
        <w:t>Georgia Institute of Technology</w:t>
      </w:r>
    </w:p>
    <w:p w14:paraId="4BAF799A" w14:textId="77777777" w:rsidR="008D281D" w:rsidRPr="001E45DE" w:rsidRDefault="008D281D" w:rsidP="00DB53C1">
      <w:pPr>
        <w:autoSpaceDE w:val="0"/>
        <w:autoSpaceDN w:val="0"/>
        <w:adjustRightInd w:val="0"/>
        <w:spacing w:line="276" w:lineRule="auto"/>
        <w:contextualSpacing/>
        <w:rPr>
          <w:rFonts w:ascii="Arial" w:eastAsia="Calibri" w:hAnsi="Arial" w:cs="Arial"/>
          <w:b/>
          <w:sz w:val="19"/>
          <w:szCs w:val="19"/>
        </w:rPr>
      </w:pPr>
      <w:r w:rsidRPr="001E45DE">
        <w:rPr>
          <w:rFonts w:ascii="Arial" w:eastAsia="Calibri" w:hAnsi="Arial" w:cs="Arial"/>
          <w:b/>
          <w:sz w:val="19"/>
          <w:szCs w:val="19"/>
        </w:rPr>
        <w:t>D</w:t>
      </w:r>
      <w:r>
        <w:rPr>
          <w:rFonts w:ascii="Arial" w:eastAsia="Calibri" w:hAnsi="Arial" w:cs="Arial"/>
          <w:b/>
          <w:sz w:val="19"/>
          <w:szCs w:val="19"/>
        </w:rPr>
        <w:t>r. Marilyn A. Brown</w:t>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t xml:space="preserve">                   </w:t>
      </w:r>
      <w:r>
        <w:rPr>
          <w:rFonts w:ascii="Arial" w:eastAsia="Calibri" w:hAnsi="Arial" w:cs="Arial"/>
          <w:b/>
          <w:sz w:val="19"/>
          <w:szCs w:val="19"/>
        </w:rPr>
        <w:tab/>
        <w:t xml:space="preserve">     </w:t>
      </w:r>
      <w:r w:rsidRPr="001E45DE">
        <w:rPr>
          <w:rFonts w:ascii="Arial" w:eastAsia="Calibri" w:hAnsi="Arial" w:cs="Arial"/>
          <w:b/>
          <w:bCs/>
          <w:sz w:val="19"/>
          <w:szCs w:val="19"/>
        </w:rPr>
        <w:t>D. M. Smith Building</w:t>
      </w:r>
    </w:p>
    <w:p w14:paraId="25D8D4C6" w14:textId="77777777" w:rsidR="008D281D" w:rsidRPr="001E45DE" w:rsidRDefault="008D281D" w:rsidP="00DB53C1">
      <w:pPr>
        <w:autoSpaceDE w:val="0"/>
        <w:autoSpaceDN w:val="0"/>
        <w:adjustRightInd w:val="0"/>
        <w:spacing w:line="276" w:lineRule="auto"/>
        <w:contextualSpacing/>
        <w:rPr>
          <w:rFonts w:ascii="Arial" w:eastAsia="Calibri" w:hAnsi="Arial" w:cs="Arial"/>
          <w:b/>
          <w:sz w:val="19"/>
          <w:szCs w:val="19"/>
        </w:rPr>
      </w:pPr>
      <w:r>
        <w:rPr>
          <w:rFonts w:ascii="Arial" w:eastAsia="Calibri" w:hAnsi="Arial" w:cs="Arial"/>
          <w:b/>
          <w:sz w:val="19"/>
          <w:szCs w:val="19"/>
        </w:rPr>
        <w:t xml:space="preserve">Professor, School of Public Policy                                    </w:t>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t xml:space="preserve">             </w:t>
      </w:r>
      <w:r>
        <w:rPr>
          <w:rFonts w:ascii="Arial" w:eastAsia="Calibri" w:hAnsi="Arial" w:cs="Arial"/>
          <w:b/>
          <w:sz w:val="19"/>
          <w:szCs w:val="19"/>
        </w:rPr>
        <w:tab/>
        <w:t xml:space="preserve">          </w:t>
      </w:r>
      <w:r w:rsidRPr="001E45DE">
        <w:rPr>
          <w:rFonts w:ascii="Arial" w:eastAsia="Calibri" w:hAnsi="Arial" w:cs="Arial"/>
          <w:b/>
          <w:bCs/>
          <w:sz w:val="19"/>
          <w:szCs w:val="19"/>
        </w:rPr>
        <w:t>Room 107</w:t>
      </w:r>
    </w:p>
    <w:p w14:paraId="0A6782E1" w14:textId="77777777" w:rsidR="008D281D" w:rsidRPr="001E45DE" w:rsidRDefault="008D281D" w:rsidP="00DB53C1">
      <w:pPr>
        <w:autoSpaceDE w:val="0"/>
        <w:autoSpaceDN w:val="0"/>
        <w:adjustRightInd w:val="0"/>
        <w:spacing w:line="276" w:lineRule="auto"/>
        <w:contextualSpacing/>
        <w:rPr>
          <w:rFonts w:ascii="Arial" w:eastAsia="Calibri" w:hAnsi="Arial" w:cs="Arial"/>
          <w:b/>
          <w:bCs/>
          <w:sz w:val="19"/>
          <w:szCs w:val="19"/>
        </w:rPr>
      </w:pPr>
      <w:r>
        <w:rPr>
          <w:rFonts w:ascii="Arial" w:eastAsia="Calibri" w:hAnsi="Arial" w:cs="Arial"/>
          <w:b/>
          <w:sz w:val="19"/>
          <w:szCs w:val="19"/>
        </w:rPr>
        <w:t xml:space="preserve">Email: </w:t>
      </w:r>
      <w:hyperlink r:id="rId9" w:history="1">
        <w:r w:rsidRPr="001E45DE">
          <w:rPr>
            <w:rFonts w:ascii="Arial" w:eastAsia="Calibri" w:hAnsi="Arial" w:cs="Arial"/>
            <w:b/>
            <w:color w:val="000E83"/>
            <w:sz w:val="19"/>
            <w:szCs w:val="19"/>
          </w:rPr>
          <w:t>Marilyn.Brown@pubpolicy.gatech.edu</w:t>
        </w:r>
      </w:hyperlink>
      <w:r w:rsidRPr="001E45DE">
        <w:rPr>
          <w:rFonts w:ascii="Arial" w:eastAsia="Calibri" w:hAnsi="Arial" w:cs="Arial"/>
          <w:b/>
          <w:sz w:val="19"/>
          <w:szCs w:val="19"/>
        </w:rPr>
        <w:t xml:space="preserve">     </w:t>
      </w:r>
      <w:r>
        <w:rPr>
          <w:rFonts w:ascii="Arial" w:eastAsia="Calibri" w:hAnsi="Arial" w:cs="Arial"/>
          <w:b/>
          <w:sz w:val="19"/>
          <w:szCs w:val="19"/>
        </w:rPr>
        <w:t xml:space="preserve">             </w:t>
      </w:r>
      <w:r>
        <w:rPr>
          <w:rFonts w:ascii="Arial" w:eastAsia="Calibri" w:hAnsi="Arial" w:cs="Arial"/>
          <w:b/>
          <w:sz w:val="19"/>
          <w:szCs w:val="19"/>
        </w:rPr>
        <w:tab/>
        <w:t xml:space="preserve">   </w:t>
      </w:r>
      <w:r>
        <w:rPr>
          <w:rFonts w:ascii="Arial" w:eastAsia="Calibri" w:hAnsi="Arial" w:cs="Arial"/>
          <w:b/>
          <w:sz w:val="19"/>
          <w:szCs w:val="19"/>
        </w:rPr>
        <w:tab/>
      </w:r>
      <w:r>
        <w:rPr>
          <w:rFonts w:ascii="Arial" w:eastAsia="Calibri" w:hAnsi="Arial" w:cs="Arial"/>
          <w:b/>
          <w:sz w:val="19"/>
          <w:szCs w:val="19"/>
        </w:rPr>
        <w:tab/>
        <w:t xml:space="preserve">           </w:t>
      </w:r>
      <w:r w:rsidRPr="001E45DE">
        <w:rPr>
          <w:rFonts w:ascii="Arial" w:eastAsia="Calibri" w:hAnsi="Arial" w:cs="Arial"/>
          <w:b/>
          <w:bCs/>
          <w:sz w:val="19"/>
          <w:szCs w:val="19"/>
        </w:rPr>
        <w:t>685 Cherry Street</w:t>
      </w:r>
    </w:p>
    <w:p w14:paraId="4014A823" w14:textId="77777777" w:rsidR="008D281D" w:rsidRPr="001278DC" w:rsidRDefault="008D281D" w:rsidP="00DB53C1">
      <w:pPr>
        <w:tabs>
          <w:tab w:val="left" w:pos="1772"/>
          <w:tab w:val="center" w:pos="4680"/>
        </w:tabs>
        <w:autoSpaceDE w:val="0"/>
        <w:autoSpaceDN w:val="0"/>
        <w:adjustRightInd w:val="0"/>
        <w:spacing w:line="276" w:lineRule="auto"/>
        <w:contextualSpacing/>
        <w:rPr>
          <w:rFonts w:ascii="Arial" w:eastAsia="Calibri" w:hAnsi="Arial" w:cs="Arial"/>
          <w:b/>
          <w:bCs/>
          <w:szCs w:val="23"/>
        </w:rPr>
      </w:pPr>
      <w:r w:rsidRPr="001E45DE">
        <w:rPr>
          <w:rFonts w:ascii="Arial" w:eastAsia="Calibri" w:hAnsi="Arial" w:cs="Arial"/>
          <w:b/>
          <w:sz w:val="19"/>
          <w:szCs w:val="19"/>
        </w:rPr>
        <w:t xml:space="preserve">Phone: 404-385-0303                                   </w:t>
      </w:r>
      <w:r>
        <w:rPr>
          <w:rFonts w:ascii="Arial" w:eastAsia="Calibri" w:hAnsi="Arial" w:cs="Arial"/>
          <w:b/>
          <w:sz w:val="19"/>
          <w:szCs w:val="19"/>
        </w:rPr>
        <w:t xml:space="preserve">         </w:t>
      </w:r>
      <w:r>
        <w:rPr>
          <w:rFonts w:ascii="Arial" w:eastAsia="Calibri" w:hAnsi="Arial" w:cs="Arial"/>
          <w:b/>
          <w:sz w:val="19"/>
          <w:szCs w:val="19"/>
        </w:rPr>
        <w:tab/>
      </w:r>
      <w:r>
        <w:rPr>
          <w:rFonts w:ascii="Arial" w:eastAsia="Calibri" w:hAnsi="Arial" w:cs="Arial"/>
          <w:b/>
          <w:sz w:val="19"/>
          <w:szCs w:val="19"/>
        </w:rPr>
        <w:tab/>
      </w:r>
      <w:r>
        <w:rPr>
          <w:rFonts w:ascii="Arial" w:eastAsia="Calibri" w:hAnsi="Arial" w:cs="Arial"/>
          <w:b/>
          <w:sz w:val="19"/>
          <w:szCs w:val="19"/>
        </w:rPr>
        <w:tab/>
        <w:t xml:space="preserve">            </w:t>
      </w:r>
      <w:r w:rsidRPr="001E45DE">
        <w:rPr>
          <w:rFonts w:ascii="Arial" w:eastAsia="Calibri" w:hAnsi="Arial" w:cs="Arial"/>
          <w:b/>
          <w:bCs/>
          <w:sz w:val="19"/>
          <w:szCs w:val="19"/>
        </w:rPr>
        <w:t>Atlanta, GA 30332 - 0345</w:t>
      </w:r>
    </w:p>
    <w:p w14:paraId="58718EBE" w14:textId="77777777" w:rsidR="00CA6589" w:rsidRDefault="00CA6589" w:rsidP="00DB53C1">
      <w:pPr>
        <w:spacing w:after="160" w:line="276" w:lineRule="auto"/>
        <w:rPr>
          <w:rFonts w:asciiTheme="minorHAnsi" w:eastAsiaTheme="majorEastAsia" w:hAnsiTheme="minorHAnsi" w:cstheme="majorBidi"/>
          <w:b/>
          <w:szCs w:val="32"/>
        </w:rPr>
      </w:pPr>
      <w:r>
        <w:rPr>
          <w:rFonts w:asciiTheme="minorHAnsi" w:hAnsiTheme="minorHAnsi"/>
          <w:b/>
        </w:rPr>
        <w:br w:type="page"/>
      </w:r>
    </w:p>
    <w:p w14:paraId="4269155A" w14:textId="77777777" w:rsidR="000656C9" w:rsidRDefault="000656C9">
      <w:pPr>
        <w:spacing w:after="160" w:line="259" w:lineRule="auto"/>
        <w:rPr>
          <w:rFonts w:ascii="Calibri" w:hAnsi="Calibri"/>
          <w:b/>
        </w:rPr>
      </w:pPr>
      <w:r>
        <w:rPr>
          <w:rFonts w:ascii="Calibri" w:hAnsi="Calibri"/>
          <w:b/>
        </w:rPr>
        <w:lastRenderedPageBreak/>
        <w:br w:type="page"/>
      </w:r>
    </w:p>
    <w:p w14:paraId="24ADE526" w14:textId="77777777" w:rsidR="000656C9" w:rsidRDefault="000656C9" w:rsidP="00C40B08">
      <w:pPr>
        <w:pStyle w:val="ListParagraph"/>
        <w:numPr>
          <w:ilvl w:val="0"/>
          <w:numId w:val="1"/>
        </w:numPr>
        <w:spacing w:line="480" w:lineRule="auto"/>
        <w:outlineLvl w:val="0"/>
        <w:rPr>
          <w:rFonts w:ascii="Calibri" w:hAnsi="Calibri" w:cs="Times New Roman"/>
          <w:b/>
          <w:sz w:val="24"/>
          <w:szCs w:val="24"/>
        </w:rPr>
        <w:sectPr w:rsidR="000656C9" w:rsidSect="000656C9">
          <w:headerReference w:type="default" r:id="rId10"/>
          <w:footerReference w:type="default" r:id="rId11"/>
          <w:headerReference w:type="first" r:id="rId12"/>
          <w:type w:val="continuous"/>
          <w:pgSz w:w="12240" w:h="15840"/>
          <w:pgMar w:top="1440" w:right="1440" w:bottom="1440" w:left="1440" w:header="720" w:footer="720" w:gutter="0"/>
          <w:pgNumType w:start="1"/>
          <w:cols w:space="720"/>
          <w:titlePg/>
          <w:docGrid w:linePitch="360"/>
        </w:sectPr>
      </w:pPr>
    </w:p>
    <w:p w14:paraId="75E01259" w14:textId="38F83249" w:rsidR="007D349B" w:rsidRPr="00C40B08" w:rsidRDefault="00951E73" w:rsidP="000656C9">
      <w:pPr>
        <w:pStyle w:val="ListParagraph"/>
        <w:numPr>
          <w:ilvl w:val="0"/>
          <w:numId w:val="1"/>
        </w:numPr>
        <w:spacing w:line="276" w:lineRule="auto"/>
        <w:outlineLvl w:val="0"/>
        <w:rPr>
          <w:rFonts w:ascii="Calibri" w:hAnsi="Calibri" w:cs="Times New Roman"/>
          <w:b/>
          <w:sz w:val="24"/>
          <w:szCs w:val="24"/>
        </w:rPr>
      </w:pPr>
      <w:r w:rsidRPr="00C40B08">
        <w:rPr>
          <w:rFonts w:ascii="Calibri" w:hAnsi="Calibri" w:cs="Times New Roman"/>
          <w:b/>
          <w:sz w:val="24"/>
          <w:szCs w:val="24"/>
        </w:rPr>
        <w:lastRenderedPageBreak/>
        <w:t>Introduction</w:t>
      </w:r>
    </w:p>
    <w:p w14:paraId="3CCC7092" w14:textId="73B2CD6E" w:rsidR="00A1613D" w:rsidRPr="00C40B08" w:rsidRDefault="007D349B" w:rsidP="000656C9">
      <w:pPr>
        <w:pStyle w:val="NormalWeb"/>
        <w:spacing w:line="276" w:lineRule="auto"/>
        <w:rPr>
          <w:rFonts w:ascii="Calibri" w:hAnsi="Calibri"/>
        </w:rPr>
      </w:pPr>
      <w:r w:rsidRPr="00C40B08">
        <w:rPr>
          <w:rFonts w:ascii="Calibri" w:hAnsi="Calibri"/>
        </w:rPr>
        <w:t xml:space="preserve">The U.S. electricity </w:t>
      </w:r>
      <w:r w:rsidR="00285054" w:rsidRPr="00C40B08">
        <w:rPr>
          <w:rFonts w:ascii="Calibri" w:hAnsi="Calibri"/>
        </w:rPr>
        <w:t xml:space="preserve">sector </w:t>
      </w:r>
      <w:r w:rsidRPr="00C40B08">
        <w:rPr>
          <w:rFonts w:ascii="Calibri" w:hAnsi="Calibri"/>
        </w:rPr>
        <w:t>is in a period of unprecedented change.</w:t>
      </w:r>
      <w:r w:rsidR="00AF5126" w:rsidRPr="00C40B08">
        <w:rPr>
          <w:rFonts w:ascii="Calibri" w:hAnsi="Calibri"/>
        </w:rPr>
        <w:t xml:space="preserve"> </w:t>
      </w:r>
      <w:r w:rsidR="00851FDF" w:rsidRPr="00C40B08">
        <w:rPr>
          <w:rFonts w:ascii="Calibri" w:hAnsi="Calibri"/>
        </w:rPr>
        <w:t>N</w:t>
      </w:r>
      <w:r w:rsidR="00AF5126" w:rsidRPr="00C40B08">
        <w:rPr>
          <w:rFonts w:ascii="Calibri" w:hAnsi="Calibri"/>
        </w:rPr>
        <w:t>atural</w:t>
      </w:r>
      <w:r w:rsidR="00576150" w:rsidRPr="00C40B08">
        <w:rPr>
          <w:rFonts w:ascii="Calibri" w:hAnsi="Calibri"/>
        </w:rPr>
        <w:t xml:space="preserve"> gas </w:t>
      </w:r>
      <w:r w:rsidR="00851FDF" w:rsidRPr="00C40B08">
        <w:rPr>
          <w:rFonts w:ascii="Calibri" w:hAnsi="Calibri"/>
        </w:rPr>
        <w:t xml:space="preserve">is now </w:t>
      </w:r>
      <w:r w:rsidR="00576150" w:rsidRPr="00C40B08">
        <w:rPr>
          <w:rFonts w:ascii="Calibri" w:hAnsi="Calibri"/>
        </w:rPr>
        <w:t>generat</w:t>
      </w:r>
      <w:r w:rsidR="004A201F" w:rsidRPr="00C40B08">
        <w:rPr>
          <w:rFonts w:ascii="Calibri" w:hAnsi="Calibri"/>
        </w:rPr>
        <w:t>ing</w:t>
      </w:r>
      <w:r w:rsidR="00576150" w:rsidRPr="00C40B08">
        <w:rPr>
          <w:rFonts w:ascii="Calibri" w:hAnsi="Calibri"/>
        </w:rPr>
        <w:t xml:space="preserve"> as much electricity as coal, wind and solar systems </w:t>
      </w:r>
      <w:r w:rsidR="004A201F" w:rsidRPr="00C40B08">
        <w:rPr>
          <w:rFonts w:ascii="Calibri" w:hAnsi="Calibri"/>
        </w:rPr>
        <w:t xml:space="preserve">are </w:t>
      </w:r>
      <w:r w:rsidR="00576150" w:rsidRPr="00C40B08">
        <w:rPr>
          <w:rFonts w:ascii="Calibri" w:hAnsi="Calibri"/>
        </w:rPr>
        <w:t>generat</w:t>
      </w:r>
      <w:r w:rsidR="004A201F" w:rsidRPr="00C40B08">
        <w:rPr>
          <w:rFonts w:ascii="Calibri" w:hAnsi="Calibri"/>
        </w:rPr>
        <w:t>ing</w:t>
      </w:r>
      <w:r w:rsidR="00576150" w:rsidRPr="00C40B08">
        <w:rPr>
          <w:rFonts w:ascii="Calibri" w:hAnsi="Calibri"/>
        </w:rPr>
        <w:t xml:space="preserve"> as much electricity as hydropower</w:t>
      </w:r>
      <w:r w:rsidR="0076535F" w:rsidRPr="00C40B08">
        <w:rPr>
          <w:rFonts w:ascii="Calibri" w:hAnsi="Calibri"/>
        </w:rPr>
        <w:t xml:space="preserve">, and </w:t>
      </w:r>
      <w:r w:rsidR="002C3760">
        <w:rPr>
          <w:rFonts w:ascii="Calibri" w:hAnsi="Calibri"/>
        </w:rPr>
        <w:t>energy efficiency is moderating the demand for electricity</w:t>
      </w:r>
      <w:r w:rsidR="00576150" w:rsidRPr="00C40B08">
        <w:rPr>
          <w:rFonts w:ascii="Calibri" w:hAnsi="Calibri"/>
        </w:rPr>
        <w:t xml:space="preserve"> (</w:t>
      </w:r>
      <w:r w:rsidR="00D35686" w:rsidRPr="00C40B08">
        <w:rPr>
          <w:rFonts w:ascii="Calibri" w:hAnsi="Calibri"/>
        </w:rPr>
        <w:t>US EIA</w:t>
      </w:r>
      <w:r w:rsidR="00EA6EA3" w:rsidRPr="00C40B08">
        <w:rPr>
          <w:rFonts w:ascii="Calibri" w:hAnsi="Calibri"/>
        </w:rPr>
        <w:t>,</w:t>
      </w:r>
      <w:r w:rsidR="00576150" w:rsidRPr="00C40B08">
        <w:rPr>
          <w:rFonts w:ascii="Calibri" w:hAnsi="Calibri"/>
        </w:rPr>
        <w:t xml:space="preserve"> 2016).</w:t>
      </w:r>
      <w:r w:rsidRPr="00C40B08">
        <w:rPr>
          <w:rFonts w:ascii="Calibri" w:hAnsi="Calibri"/>
        </w:rPr>
        <w:t xml:space="preserve"> </w:t>
      </w:r>
      <w:r w:rsidR="002B2204" w:rsidRPr="00C40B08">
        <w:rPr>
          <w:rFonts w:ascii="Calibri" w:hAnsi="Calibri"/>
        </w:rPr>
        <w:t>As a result</w:t>
      </w:r>
      <w:r w:rsidR="00576150" w:rsidRPr="00C40B08">
        <w:rPr>
          <w:rFonts w:ascii="Calibri" w:hAnsi="Calibri"/>
        </w:rPr>
        <w:t xml:space="preserve">, </w:t>
      </w:r>
      <w:r w:rsidRPr="00C40B08">
        <w:rPr>
          <w:rFonts w:ascii="Calibri" w:hAnsi="Calibri"/>
        </w:rPr>
        <w:t xml:space="preserve">carbon pollution from </w:t>
      </w:r>
      <w:r w:rsidR="00576150" w:rsidRPr="00C40B08">
        <w:rPr>
          <w:rFonts w:ascii="Calibri" w:hAnsi="Calibri"/>
        </w:rPr>
        <w:t>electricity</w:t>
      </w:r>
      <w:r w:rsidRPr="00C40B08">
        <w:rPr>
          <w:rFonts w:ascii="Calibri" w:hAnsi="Calibri"/>
        </w:rPr>
        <w:t xml:space="preserve"> </w:t>
      </w:r>
      <w:r w:rsidR="00576150" w:rsidRPr="00C40B08">
        <w:rPr>
          <w:rFonts w:ascii="Calibri" w:hAnsi="Calibri"/>
        </w:rPr>
        <w:t>generation</w:t>
      </w:r>
      <w:r w:rsidR="00554CAC" w:rsidRPr="00C40B08">
        <w:rPr>
          <w:rFonts w:ascii="Calibri" w:hAnsi="Calibri"/>
        </w:rPr>
        <w:t xml:space="preserve"> in the U.S.</w:t>
      </w:r>
      <w:r w:rsidR="00003349" w:rsidRPr="00C40B08">
        <w:rPr>
          <w:rFonts w:ascii="Calibri" w:hAnsi="Calibri"/>
        </w:rPr>
        <w:t xml:space="preserve"> </w:t>
      </w:r>
      <w:r w:rsidR="00B1789D" w:rsidRPr="00C40B08">
        <w:rPr>
          <w:rFonts w:ascii="Calibri" w:hAnsi="Calibri"/>
        </w:rPr>
        <w:t xml:space="preserve">has </w:t>
      </w:r>
      <w:r w:rsidR="00A1613D" w:rsidRPr="00C40B08">
        <w:rPr>
          <w:rFonts w:ascii="Calibri" w:hAnsi="Calibri"/>
        </w:rPr>
        <w:t>declined in recent years</w:t>
      </w:r>
      <w:r w:rsidR="002C3760">
        <w:rPr>
          <w:rFonts w:ascii="Calibri" w:hAnsi="Calibri"/>
        </w:rPr>
        <w:t xml:space="preserve"> while the economy has continued to grow</w:t>
      </w:r>
      <w:r w:rsidR="00576150" w:rsidRPr="00C40B08">
        <w:rPr>
          <w:rFonts w:ascii="Calibri" w:hAnsi="Calibri"/>
        </w:rPr>
        <w:t xml:space="preserve">. </w:t>
      </w:r>
      <w:r w:rsidRPr="00C40B08">
        <w:rPr>
          <w:rFonts w:ascii="Calibri" w:hAnsi="Calibri"/>
        </w:rPr>
        <w:t xml:space="preserve">While historic in magnitude, </w:t>
      </w:r>
      <w:r w:rsidR="004A201F" w:rsidRPr="00C40B08">
        <w:rPr>
          <w:rFonts w:ascii="Calibri" w:hAnsi="Calibri"/>
        </w:rPr>
        <w:t xml:space="preserve">it is unclear that </w:t>
      </w:r>
      <w:r w:rsidRPr="00C40B08">
        <w:rPr>
          <w:rFonts w:ascii="Calibri" w:hAnsi="Calibri"/>
        </w:rPr>
        <w:t>this pace of change</w:t>
      </w:r>
      <w:r w:rsidR="004A201F" w:rsidRPr="00C40B08">
        <w:rPr>
          <w:rFonts w:ascii="Calibri" w:hAnsi="Calibri"/>
        </w:rPr>
        <w:t xml:space="preserve"> can be sustained and ultimately accelerated to achieve</w:t>
      </w:r>
      <w:r w:rsidR="00FB2D59" w:rsidRPr="00C40B08">
        <w:rPr>
          <w:rFonts w:ascii="Calibri" w:hAnsi="Calibri"/>
        </w:rPr>
        <w:t xml:space="preserve"> </w:t>
      </w:r>
      <w:r w:rsidR="004A201F" w:rsidRPr="00C40B08">
        <w:rPr>
          <w:rFonts w:ascii="Calibri" w:hAnsi="Calibri"/>
        </w:rPr>
        <w:t>the ambitious mid-century climate mitigati</w:t>
      </w:r>
      <w:r w:rsidR="006D6F49">
        <w:rPr>
          <w:rFonts w:ascii="Calibri" w:hAnsi="Calibri"/>
        </w:rPr>
        <w:t xml:space="preserve">on goals of the Paris Agreement, </w:t>
      </w:r>
      <w:r w:rsidR="004A201F" w:rsidRPr="00C40B08">
        <w:rPr>
          <w:rFonts w:ascii="Calibri" w:hAnsi="Calibri"/>
        </w:rPr>
        <w:t xml:space="preserve">to “prevent dangerous anthropogenic interference with the climate system” as specified by </w:t>
      </w:r>
      <w:r w:rsidR="00FB2D59" w:rsidRPr="00C40B08">
        <w:rPr>
          <w:rFonts w:ascii="Calibri" w:hAnsi="Calibri"/>
        </w:rPr>
        <w:t>the United Nations Framework Convention on Climate Change</w:t>
      </w:r>
      <w:r w:rsidR="004A201F" w:rsidRPr="00C40B08">
        <w:rPr>
          <w:rFonts w:ascii="Calibri" w:hAnsi="Calibri"/>
        </w:rPr>
        <w:t>.</w:t>
      </w:r>
      <w:r w:rsidRPr="00C40B08">
        <w:rPr>
          <w:rFonts w:ascii="Calibri" w:hAnsi="Calibri"/>
        </w:rPr>
        <w:t xml:space="preserve"> </w:t>
      </w:r>
      <w:r w:rsidR="00A81E7B">
        <w:rPr>
          <w:rFonts w:ascii="Calibri" w:hAnsi="Calibri"/>
        </w:rPr>
        <w:t>Feng et al. (2015) documents that the CO</w:t>
      </w:r>
      <w:r w:rsidR="00A81E7B" w:rsidRPr="00A81E7B">
        <w:rPr>
          <w:rFonts w:ascii="Calibri" w:hAnsi="Calibri"/>
          <w:vertAlign w:val="subscript"/>
        </w:rPr>
        <w:t>2</w:t>
      </w:r>
      <w:r w:rsidR="00A81E7B">
        <w:rPr>
          <w:rFonts w:ascii="Calibri" w:hAnsi="Calibri"/>
        </w:rPr>
        <w:t xml:space="preserve"> emission reductions between 2007 and 2013, were largely a result of economic recession with changes in fuel </w:t>
      </w:r>
      <w:proofErr w:type="spellStart"/>
      <w:r w:rsidR="00A81E7B">
        <w:rPr>
          <w:rFonts w:ascii="Calibri" w:hAnsi="Calibri"/>
        </w:rPr>
        <w:t>mex</w:t>
      </w:r>
      <w:proofErr w:type="spellEnd"/>
      <w:r w:rsidR="00A81E7B">
        <w:rPr>
          <w:rFonts w:ascii="Calibri" w:hAnsi="Calibri"/>
        </w:rPr>
        <w:t xml:space="preserve"> playing a relatively minor role.</w:t>
      </w:r>
      <w:r w:rsidR="00CE5A0E" w:rsidRPr="00C40B08">
        <w:rPr>
          <w:rFonts w:ascii="Calibri" w:hAnsi="Calibri"/>
        </w:rPr>
        <w:t xml:space="preserve"> </w:t>
      </w:r>
      <w:r w:rsidR="00A81E7B">
        <w:rPr>
          <w:rFonts w:ascii="Calibri" w:hAnsi="Calibri"/>
        </w:rPr>
        <w:t>The</w:t>
      </w:r>
      <w:r w:rsidR="00CE5A0E" w:rsidRPr="00C40B08">
        <w:rPr>
          <w:rFonts w:ascii="Calibri" w:hAnsi="Calibri"/>
        </w:rPr>
        <w:t xml:space="preserve"> U.S. Energy Information Administration (US EIA, 2015a) estimates that as the U.S. economy </w:t>
      </w:r>
      <w:r w:rsidR="00A9294B" w:rsidRPr="00C40B08">
        <w:rPr>
          <w:rFonts w:ascii="Calibri" w:hAnsi="Calibri"/>
        </w:rPr>
        <w:t>expands</w:t>
      </w:r>
      <w:r w:rsidR="00CE5A0E" w:rsidRPr="00C40B08">
        <w:rPr>
          <w:rFonts w:ascii="Calibri" w:hAnsi="Calibri"/>
        </w:rPr>
        <w:t xml:space="preserve">, </w:t>
      </w:r>
      <w:r w:rsidR="00A9294B" w:rsidRPr="00C40B08">
        <w:rPr>
          <w:rFonts w:ascii="Calibri" w:hAnsi="Calibri"/>
        </w:rPr>
        <w:t xml:space="preserve">its </w:t>
      </w:r>
      <w:r w:rsidR="00CE5A0E" w:rsidRPr="00C40B08">
        <w:rPr>
          <w:rFonts w:ascii="Calibri" w:hAnsi="Calibri"/>
        </w:rPr>
        <w:t>CO</w:t>
      </w:r>
      <w:r w:rsidR="00CE5A0E" w:rsidRPr="00C40B08">
        <w:rPr>
          <w:rFonts w:ascii="Calibri" w:hAnsi="Calibri"/>
          <w:vertAlign w:val="subscript"/>
        </w:rPr>
        <w:t>2</w:t>
      </w:r>
      <w:r w:rsidR="00CE5A0E" w:rsidRPr="00C40B08">
        <w:rPr>
          <w:rFonts w:ascii="Calibri" w:hAnsi="Calibri"/>
        </w:rPr>
        <w:t xml:space="preserve"> emissions </w:t>
      </w:r>
      <w:r w:rsidR="008D4DBE" w:rsidRPr="00C40B08">
        <w:rPr>
          <w:rFonts w:ascii="Calibri" w:hAnsi="Calibri"/>
        </w:rPr>
        <w:t xml:space="preserve">will </w:t>
      </w:r>
      <w:r w:rsidR="00A9294B" w:rsidRPr="00C40B08">
        <w:rPr>
          <w:rFonts w:ascii="Calibri" w:hAnsi="Calibri"/>
        </w:rPr>
        <w:t>exceed 2012 levels</w:t>
      </w:r>
      <w:r w:rsidR="008D4DBE" w:rsidRPr="00C40B08">
        <w:rPr>
          <w:rFonts w:ascii="Calibri" w:hAnsi="Calibri"/>
        </w:rPr>
        <w:t xml:space="preserve"> </w:t>
      </w:r>
      <w:r w:rsidR="00A9294B" w:rsidRPr="00C40B08">
        <w:rPr>
          <w:rFonts w:ascii="Calibri" w:hAnsi="Calibri"/>
        </w:rPr>
        <w:t>by</w:t>
      </w:r>
      <w:r w:rsidR="00CE5A0E" w:rsidRPr="00C40B08">
        <w:rPr>
          <w:rFonts w:ascii="Calibri" w:hAnsi="Calibri"/>
        </w:rPr>
        <w:t xml:space="preserve"> 7% </w:t>
      </w:r>
      <w:r w:rsidR="00A9294B" w:rsidRPr="00C40B08">
        <w:rPr>
          <w:rFonts w:ascii="Calibri" w:hAnsi="Calibri"/>
        </w:rPr>
        <w:t>in 2030 and by 8% in 2040</w:t>
      </w:r>
      <w:r w:rsidR="00CE5A0E" w:rsidRPr="00C40B08">
        <w:rPr>
          <w:rFonts w:ascii="Calibri" w:hAnsi="Calibri"/>
        </w:rPr>
        <w:t>.</w:t>
      </w:r>
    </w:p>
    <w:p w14:paraId="69952309" w14:textId="1B2756E4" w:rsidR="00DD1397" w:rsidRPr="00C40B08" w:rsidRDefault="007D349B" w:rsidP="000656C9">
      <w:pPr>
        <w:spacing w:before="100" w:beforeAutospacing="1" w:after="100" w:afterAutospacing="1" w:line="276" w:lineRule="auto"/>
        <w:rPr>
          <w:rFonts w:ascii="Calibri" w:hAnsi="Calibri"/>
        </w:rPr>
      </w:pPr>
      <w:r w:rsidRPr="00C40B08">
        <w:rPr>
          <w:rFonts w:ascii="Calibri" w:hAnsi="Calibri"/>
        </w:rPr>
        <w:t xml:space="preserve">This paper examines </w:t>
      </w:r>
      <w:r w:rsidR="002B2204" w:rsidRPr="00C40B08">
        <w:rPr>
          <w:rFonts w:ascii="Calibri" w:hAnsi="Calibri"/>
        </w:rPr>
        <w:t>the role t</w:t>
      </w:r>
      <w:r w:rsidR="00AE009B" w:rsidRPr="00C40B08">
        <w:rPr>
          <w:rFonts w:ascii="Calibri" w:hAnsi="Calibri"/>
        </w:rPr>
        <w:t>hat energy efficiency could play</w:t>
      </w:r>
      <w:r w:rsidR="002B2204" w:rsidRPr="00C40B08">
        <w:rPr>
          <w:rFonts w:ascii="Calibri" w:hAnsi="Calibri"/>
        </w:rPr>
        <w:t xml:space="preserve"> </w:t>
      </w:r>
      <w:r w:rsidR="000F4A78" w:rsidRPr="00C40B08">
        <w:rPr>
          <w:rFonts w:ascii="Calibri" w:hAnsi="Calibri"/>
        </w:rPr>
        <w:t>as a</w:t>
      </w:r>
      <w:r w:rsidR="008A3777" w:rsidRPr="00C40B08">
        <w:rPr>
          <w:rFonts w:ascii="Calibri" w:hAnsi="Calibri"/>
        </w:rPr>
        <w:t xml:space="preserve"> </w:t>
      </w:r>
      <w:r w:rsidR="00B50069" w:rsidRPr="00C40B08">
        <w:rPr>
          <w:rFonts w:ascii="Calibri" w:hAnsi="Calibri"/>
        </w:rPr>
        <w:t xml:space="preserve">U.S. </w:t>
      </w:r>
      <w:r w:rsidR="008A3777" w:rsidRPr="00C40B08">
        <w:rPr>
          <w:rFonts w:ascii="Calibri" w:hAnsi="Calibri"/>
        </w:rPr>
        <w:t xml:space="preserve">carbon mitigation </w:t>
      </w:r>
      <w:r w:rsidR="00712FD1" w:rsidRPr="00C40B08">
        <w:rPr>
          <w:rFonts w:ascii="Calibri" w:hAnsi="Calibri"/>
        </w:rPr>
        <w:t>strategy</w:t>
      </w:r>
      <w:r w:rsidR="002B2204" w:rsidRPr="00C40B08">
        <w:rPr>
          <w:rFonts w:ascii="Calibri" w:hAnsi="Calibri"/>
        </w:rPr>
        <w:t xml:space="preserve">. We accomplish this by </w:t>
      </w:r>
      <w:r w:rsidR="003C65F7" w:rsidRPr="00C40B08">
        <w:rPr>
          <w:rFonts w:ascii="Calibri" w:hAnsi="Calibri"/>
        </w:rPr>
        <w:t xml:space="preserve">characterizing strong </w:t>
      </w:r>
      <w:r w:rsidR="004E5535" w:rsidRPr="00C40B08">
        <w:rPr>
          <w:rFonts w:ascii="Calibri" w:hAnsi="Calibri"/>
        </w:rPr>
        <w:t>demand-side</w:t>
      </w:r>
      <w:r w:rsidR="003C65F7" w:rsidRPr="00C40B08">
        <w:rPr>
          <w:rFonts w:ascii="Calibri" w:hAnsi="Calibri"/>
        </w:rPr>
        <w:t xml:space="preserve"> policies</w:t>
      </w:r>
      <w:r w:rsidR="006D6F49">
        <w:rPr>
          <w:rFonts w:ascii="Calibri" w:hAnsi="Calibri"/>
        </w:rPr>
        <w:t xml:space="preserve"> that </w:t>
      </w:r>
      <w:r w:rsidR="00FB2D59" w:rsidRPr="00C40B08">
        <w:rPr>
          <w:rFonts w:ascii="Calibri" w:hAnsi="Calibri"/>
        </w:rPr>
        <w:t xml:space="preserve">are then competed against supply-side options using least-cost </w:t>
      </w:r>
      <w:r w:rsidR="004E5535" w:rsidRPr="00C40B08">
        <w:rPr>
          <w:rFonts w:ascii="Calibri" w:hAnsi="Calibri"/>
        </w:rPr>
        <w:t xml:space="preserve">energy </w:t>
      </w:r>
      <w:r w:rsidR="00FB2D59" w:rsidRPr="00C40B08">
        <w:rPr>
          <w:rFonts w:ascii="Calibri" w:hAnsi="Calibri"/>
        </w:rPr>
        <w:t xml:space="preserve">modeling. </w:t>
      </w:r>
      <w:r w:rsidR="00DD1397" w:rsidRPr="00C40B08">
        <w:rPr>
          <w:rFonts w:ascii="Calibri" w:hAnsi="Calibri"/>
        </w:rPr>
        <w:t xml:space="preserve">This approach </w:t>
      </w:r>
      <w:r w:rsidR="004E5535" w:rsidRPr="00C40B08">
        <w:rPr>
          <w:rFonts w:ascii="Calibri" w:hAnsi="Calibri"/>
        </w:rPr>
        <w:t xml:space="preserve">expands the </w:t>
      </w:r>
      <w:r w:rsidR="00DD1397" w:rsidRPr="00C40B08">
        <w:rPr>
          <w:rFonts w:ascii="Calibri" w:hAnsi="Calibri"/>
        </w:rPr>
        <w:t>comprehensive</w:t>
      </w:r>
      <w:r w:rsidR="004E5535" w:rsidRPr="00C40B08">
        <w:rPr>
          <w:rFonts w:ascii="Calibri" w:hAnsi="Calibri"/>
        </w:rPr>
        <w:t>ness of mitigation modeling by</w:t>
      </w:r>
      <w:r w:rsidR="00DD1397" w:rsidRPr="00C40B08">
        <w:rPr>
          <w:rFonts w:ascii="Calibri" w:hAnsi="Calibri"/>
        </w:rPr>
        <w:t xml:space="preserve"> </w:t>
      </w:r>
      <w:r w:rsidR="004E5535" w:rsidRPr="00C40B08">
        <w:rPr>
          <w:rFonts w:ascii="Calibri" w:hAnsi="Calibri"/>
        </w:rPr>
        <w:t xml:space="preserve">assessing both </w:t>
      </w:r>
      <w:r w:rsidR="00FB2D59" w:rsidRPr="00C40B08">
        <w:rPr>
          <w:rFonts w:ascii="Calibri" w:hAnsi="Calibri"/>
        </w:rPr>
        <w:t>demand-</w:t>
      </w:r>
      <w:r w:rsidR="004E5535" w:rsidRPr="00C40B08">
        <w:rPr>
          <w:rFonts w:ascii="Calibri" w:hAnsi="Calibri"/>
        </w:rPr>
        <w:t xml:space="preserve"> and supply-</w:t>
      </w:r>
      <w:r w:rsidR="00FB2D59" w:rsidRPr="00C40B08">
        <w:rPr>
          <w:rFonts w:ascii="Calibri" w:hAnsi="Calibri"/>
        </w:rPr>
        <w:t>side options in the U.S.</w:t>
      </w:r>
      <w:r w:rsidR="00DD1397" w:rsidRPr="00C40B08">
        <w:rPr>
          <w:rFonts w:ascii="Calibri" w:hAnsi="Calibri"/>
        </w:rPr>
        <w:t xml:space="preserve">, </w:t>
      </w:r>
      <w:r w:rsidR="004E5535" w:rsidRPr="00C40B08">
        <w:rPr>
          <w:rFonts w:ascii="Calibri" w:hAnsi="Calibri"/>
        </w:rPr>
        <w:t>in contrast to</w:t>
      </w:r>
      <w:r w:rsidR="00DD1397" w:rsidRPr="00C40B08">
        <w:rPr>
          <w:rFonts w:ascii="Calibri" w:hAnsi="Calibri"/>
        </w:rPr>
        <w:t xml:space="preserve"> the</w:t>
      </w:r>
      <w:r w:rsidR="00FB2D59" w:rsidRPr="00C40B08">
        <w:rPr>
          <w:rFonts w:ascii="Calibri" w:hAnsi="Calibri"/>
        </w:rPr>
        <w:t xml:space="preserve"> cursory </w:t>
      </w:r>
      <w:r w:rsidR="00DD1397" w:rsidRPr="00C40B08">
        <w:rPr>
          <w:rFonts w:ascii="Calibri" w:hAnsi="Calibri"/>
        </w:rPr>
        <w:t xml:space="preserve">and simplified </w:t>
      </w:r>
      <w:r w:rsidR="00FB2D59" w:rsidRPr="00C40B08">
        <w:rPr>
          <w:rFonts w:ascii="Calibri" w:hAnsi="Calibri"/>
        </w:rPr>
        <w:t>analysis</w:t>
      </w:r>
      <w:r w:rsidR="00DD1397" w:rsidRPr="00C40B08">
        <w:rPr>
          <w:rFonts w:ascii="Calibri" w:hAnsi="Calibri"/>
        </w:rPr>
        <w:t xml:space="preserve"> that </w:t>
      </w:r>
      <w:r w:rsidR="004E5535" w:rsidRPr="00C40B08">
        <w:rPr>
          <w:rFonts w:ascii="Calibri" w:hAnsi="Calibri"/>
        </w:rPr>
        <w:t>energy efficiency has</w:t>
      </w:r>
      <w:r w:rsidR="00DD1397" w:rsidRPr="00C40B08">
        <w:rPr>
          <w:rFonts w:ascii="Calibri" w:hAnsi="Calibri"/>
        </w:rPr>
        <w:t xml:space="preserve"> typically received to date.</w:t>
      </w:r>
      <w:r w:rsidR="00FB2D59" w:rsidRPr="00C40B08">
        <w:rPr>
          <w:rFonts w:ascii="Calibri" w:hAnsi="Calibri"/>
        </w:rPr>
        <w:t xml:space="preserve"> </w:t>
      </w:r>
    </w:p>
    <w:p w14:paraId="6AD0C87D" w14:textId="0F58BE1F" w:rsidR="005E597B" w:rsidRPr="00C40B08" w:rsidRDefault="00BE4BAA" w:rsidP="000656C9">
      <w:pPr>
        <w:spacing w:before="100" w:beforeAutospacing="1" w:after="100" w:afterAutospacing="1" w:line="276" w:lineRule="auto"/>
        <w:rPr>
          <w:rFonts w:ascii="Calibri" w:hAnsi="Calibri"/>
        </w:rPr>
      </w:pPr>
      <w:r w:rsidRPr="00C40B08">
        <w:rPr>
          <w:rFonts w:ascii="Calibri" w:hAnsi="Calibri"/>
        </w:rPr>
        <w:t>Section 2 describes the</w:t>
      </w:r>
      <w:r w:rsidR="00EA43A2" w:rsidRPr="00C40B08">
        <w:rPr>
          <w:rFonts w:ascii="Calibri" w:hAnsi="Calibri"/>
        </w:rPr>
        <w:t xml:space="preserve"> shortcomings </w:t>
      </w:r>
      <w:r w:rsidRPr="00C40B08">
        <w:rPr>
          <w:rFonts w:ascii="Calibri" w:hAnsi="Calibri"/>
        </w:rPr>
        <w:t>that have pervaded</w:t>
      </w:r>
      <w:r w:rsidR="00EA43A2" w:rsidRPr="00C40B08">
        <w:rPr>
          <w:rFonts w:ascii="Calibri" w:hAnsi="Calibri"/>
        </w:rPr>
        <w:t xml:space="preserve"> the </w:t>
      </w:r>
      <w:r w:rsidRPr="00C40B08">
        <w:rPr>
          <w:rFonts w:ascii="Calibri" w:hAnsi="Calibri"/>
        </w:rPr>
        <w:t xml:space="preserve">modeling of energy efficiency as a demand-side option in carbon mitigation pathways. Section 3 then presents </w:t>
      </w:r>
      <w:r w:rsidR="003C65F7" w:rsidRPr="00C40B08">
        <w:rPr>
          <w:rFonts w:ascii="Calibri" w:hAnsi="Calibri"/>
        </w:rPr>
        <w:t>four</w:t>
      </w:r>
      <w:r w:rsidR="00BA42A5" w:rsidRPr="00C40B08">
        <w:rPr>
          <w:rFonts w:ascii="Calibri" w:hAnsi="Calibri"/>
        </w:rPr>
        <w:t xml:space="preserve"> hypotheses</w:t>
      </w:r>
      <w:r w:rsidR="00E15909" w:rsidRPr="00C40B08">
        <w:rPr>
          <w:rFonts w:ascii="Calibri" w:hAnsi="Calibri"/>
        </w:rPr>
        <w:t xml:space="preserve"> about the </w:t>
      </w:r>
      <w:r w:rsidR="00EC0CCE" w:rsidRPr="00C40B08">
        <w:rPr>
          <w:rFonts w:ascii="Calibri" w:hAnsi="Calibri"/>
        </w:rPr>
        <w:t xml:space="preserve">potential impacts of </w:t>
      </w:r>
      <w:r w:rsidR="00E15909" w:rsidRPr="00C40B08">
        <w:rPr>
          <w:rFonts w:ascii="Calibri" w:hAnsi="Calibri"/>
        </w:rPr>
        <w:t xml:space="preserve">strong energy-efficiency </w:t>
      </w:r>
      <w:proofErr w:type="gramStart"/>
      <w:r w:rsidRPr="00C40B08">
        <w:rPr>
          <w:rFonts w:ascii="Calibri" w:hAnsi="Calibri"/>
        </w:rPr>
        <w:t>options</w:t>
      </w:r>
      <w:r w:rsidR="00496A0F" w:rsidRPr="00C40B08">
        <w:rPr>
          <w:rFonts w:ascii="Calibri" w:hAnsi="Calibri"/>
        </w:rPr>
        <w:t>, that</w:t>
      </w:r>
      <w:proofErr w:type="gramEnd"/>
      <w:r w:rsidR="00496A0F" w:rsidRPr="00C40B08">
        <w:rPr>
          <w:rFonts w:ascii="Calibri" w:hAnsi="Calibri"/>
        </w:rPr>
        <w:t xml:space="preserve"> we subsequently test. These relate </w:t>
      </w:r>
      <w:r w:rsidR="00DD1397" w:rsidRPr="00C40B08">
        <w:rPr>
          <w:rFonts w:ascii="Calibri" w:hAnsi="Calibri"/>
        </w:rPr>
        <w:t xml:space="preserve">to compliance costs, investments in new natural gas plants, carbon leakage, and local air pollution. </w:t>
      </w:r>
      <w:r w:rsidR="00EC0CCE" w:rsidRPr="00C40B08">
        <w:rPr>
          <w:rFonts w:ascii="Calibri" w:hAnsi="Calibri"/>
        </w:rPr>
        <w:t xml:space="preserve">Section 4 describes our research methodology and provides an overview of the modeling tool </w:t>
      </w:r>
      <w:r w:rsidR="003C65F7" w:rsidRPr="00C40B08">
        <w:rPr>
          <w:rFonts w:ascii="Calibri" w:hAnsi="Calibri"/>
        </w:rPr>
        <w:t>used</w:t>
      </w:r>
      <w:r w:rsidR="00EC0CCE" w:rsidRPr="00C40B08">
        <w:rPr>
          <w:rFonts w:ascii="Calibri" w:hAnsi="Calibri"/>
        </w:rPr>
        <w:t xml:space="preserve"> to test our hypotheses. Results are presented in Section 5, and the paper ends </w:t>
      </w:r>
      <w:r w:rsidR="00EF0773" w:rsidRPr="00C40B08">
        <w:rPr>
          <w:rFonts w:ascii="Calibri" w:hAnsi="Calibri"/>
        </w:rPr>
        <w:t xml:space="preserve">with conclusions and </w:t>
      </w:r>
      <w:r w:rsidR="00DD1397" w:rsidRPr="00C40B08">
        <w:rPr>
          <w:rFonts w:ascii="Calibri" w:hAnsi="Calibri"/>
        </w:rPr>
        <w:t xml:space="preserve">a discussion of </w:t>
      </w:r>
      <w:r w:rsidR="00EF0773" w:rsidRPr="00C40B08">
        <w:rPr>
          <w:rFonts w:ascii="Calibri" w:hAnsi="Calibri"/>
        </w:rPr>
        <w:t xml:space="preserve">policy implications </w:t>
      </w:r>
      <w:r w:rsidR="00DD1397" w:rsidRPr="00C40B08">
        <w:rPr>
          <w:rFonts w:ascii="Calibri" w:hAnsi="Calibri"/>
        </w:rPr>
        <w:t xml:space="preserve">in </w:t>
      </w:r>
      <w:r w:rsidR="00EC0CCE" w:rsidRPr="00C40B08">
        <w:rPr>
          <w:rFonts w:ascii="Calibri" w:hAnsi="Calibri"/>
        </w:rPr>
        <w:t>Section 6.</w:t>
      </w:r>
    </w:p>
    <w:p w14:paraId="18283BC9" w14:textId="71B6E69C" w:rsidR="0051328A" w:rsidRPr="00C40B08" w:rsidRDefault="00C601E2" w:rsidP="000656C9">
      <w:pPr>
        <w:pStyle w:val="ListParagraph"/>
        <w:numPr>
          <w:ilvl w:val="0"/>
          <w:numId w:val="1"/>
        </w:numPr>
        <w:spacing w:line="276" w:lineRule="auto"/>
        <w:outlineLvl w:val="0"/>
        <w:rPr>
          <w:rFonts w:ascii="Calibri" w:hAnsi="Calibri" w:cs="Times New Roman"/>
          <w:b/>
          <w:sz w:val="24"/>
          <w:szCs w:val="24"/>
        </w:rPr>
      </w:pPr>
      <w:r w:rsidRPr="00C40B08">
        <w:rPr>
          <w:rFonts w:ascii="Calibri" w:hAnsi="Calibri" w:cs="Times New Roman"/>
          <w:b/>
          <w:sz w:val="24"/>
          <w:szCs w:val="24"/>
        </w:rPr>
        <w:t>A Gap in the Literature: Shortcomings in Prior Modeling of Energy Efficiency</w:t>
      </w:r>
    </w:p>
    <w:p w14:paraId="4A4B9002" w14:textId="285CFC2A" w:rsidR="00EC6883" w:rsidRPr="00C40B08" w:rsidRDefault="00947355" w:rsidP="000656C9">
      <w:pPr>
        <w:spacing w:before="100" w:beforeAutospacing="1" w:after="100" w:afterAutospacing="1" w:line="276" w:lineRule="auto"/>
        <w:rPr>
          <w:rFonts w:ascii="Calibri" w:hAnsi="Calibri"/>
        </w:rPr>
      </w:pPr>
      <w:r w:rsidRPr="00C40B08">
        <w:rPr>
          <w:rFonts w:ascii="Calibri" w:hAnsi="Calibri"/>
        </w:rPr>
        <w:t>Over the past several years, ene</w:t>
      </w:r>
      <w:r w:rsidR="00054767" w:rsidRPr="00C40B08">
        <w:rPr>
          <w:rFonts w:ascii="Calibri" w:hAnsi="Calibri"/>
        </w:rPr>
        <w:t xml:space="preserve">rgy efficiency </w:t>
      </w:r>
      <w:r w:rsidR="00896F3F" w:rsidRPr="00C40B08">
        <w:rPr>
          <w:rFonts w:ascii="Calibri" w:hAnsi="Calibri"/>
        </w:rPr>
        <w:t xml:space="preserve">has been inadequately </w:t>
      </w:r>
      <w:r w:rsidR="00AD013F" w:rsidRPr="00C40B08">
        <w:rPr>
          <w:rFonts w:ascii="Calibri" w:hAnsi="Calibri"/>
        </w:rPr>
        <w:t xml:space="preserve">assessed </w:t>
      </w:r>
      <w:r w:rsidR="00C601E2" w:rsidRPr="00C40B08">
        <w:rPr>
          <w:rFonts w:ascii="Calibri" w:hAnsi="Calibri"/>
        </w:rPr>
        <w:t xml:space="preserve">in models of </w:t>
      </w:r>
      <w:r w:rsidRPr="00C40B08">
        <w:rPr>
          <w:rFonts w:ascii="Calibri" w:hAnsi="Calibri"/>
        </w:rPr>
        <w:t xml:space="preserve">U.S. </w:t>
      </w:r>
      <w:r w:rsidR="00C601E2" w:rsidRPr="00C40B08">
        <w:rPr>
          <w:rFonts w:ascii="Calibri" w:hAnsi="Calibri"/>
        </w:rPr>
        <w:t>mitigation pathways</w:t>
      </w:r>
      <w:r w:rsidR="00CE5A0E" w:rsidRPr="00C40B08">
        <w:rPr>
          <w:rFonts w:ascii="Calibri" w:hAnsi="Calibri"/>
        </w:rPr>
        <w:t xml:space="preserve">, relative </w:t>
      </w:r>
      <w:r w:rsidR="001A46D0" w:rsidRPr="00C40B08">
        <w:rPr>
          <w:rFonts w:ascii="Calibri" w:hAnsi="Calibri"/>
        </w:rPr>
        <w:t>to the treatment of supply-side compliance options</w:t>
      </w:r>
      <w:r w:rsidR="00896F3F" w:rsidRPr="00C40B08">
        <w:rPr>
          <w:rFonts w:ascii="Calibri" w:hAnsi="Calibri"/>
        </w:rPr>
        <w:t xml:space="preserve">. </w:t>
      </w:r>
      <w:r w:rsidR="00C601E2" w:rsidRPr="00C40B08">
        <w:rPr>
          <w:rFonts w:ascii="Calibri" w:hAnsi="Calibri"/>
        </w:rPr>
        <w:t>There are at least three reasons for this.</w:t>
      </w:r>
    </w:p>
    <w:p w14:paraId="71D8F9C1" w14:textId="5412DA91" w:rsidR="00947355" w:rsidRPr="00C40B08" w:rsidRDefault="00947355" w:rsidP="000656C9">
      <w:pPr>
        <w:pStyle w:val="NormalWeb"/>
        <w:spacing w:line="276" w:lineRule="auto"/>
        <w:rPr>
          <w:rFonts w:ascii="Calibri" w:hAnsi="Calibri"/>
        </w:rPr>
      </w:pPr>
      <w:r w:rsidRPr="00C40B08">
        <w:rPr>
          <w:rFonts w:ascii="Calibri" w:hAnsi="Calibri"/>
        </w:rPr>
        <w:t xml:space="preserve">First, </w:t>
      </w:r>
      <w:r w:rsidR="00CE5A0E" w:rsidRPr="00C40B08">
        <w:rPr>
          <w:rFonts w:ascii="Calibri" w:hAnsi="Calibri"/>
        </w:rPr>
        <w:t xml:space="preserve">much of the </w:t>
      </w:r>
      <w:r w:rsidR="00B50069" w:rsidRPr="00C40B08">
        <w:rPr>
          <w:rFonts w:ascii="Calibri" w:hAnsi="Calibri"/>
        </w:rPr>
        <w:t xml:space="preserve">recent </w:t>
      </w:r>
      <w:r w:rsidR="00CE5A0E" w:rsidRPr="00C40B08">
        <w:rPr>
          <w:rFonts w:ascii="Calibri" w:hAnsi="Calibri"/>
        </w:rPr>
        <w:t xml:space="preserve">modeling of mitigation pathways has focused on </w:t>
      </w:r>
      <w:r w:rsidR="00E1786F" w:rsidRPr="00C40B08">
        <w:rPr>
          <w:rFonts w:ascii="Calibri" w:hAnsi="Calibri"/>
        </w:rPr>
        <w:t xml:space="preserve">ways to meet the </w:t>
      </w:r>
      <w:r w:rsidR="00CE5A0E" w:rsidRPr="00C40B08">
        <w:rPr>
          <w:rFonts w:ascii="Calibri" w:hAnsi="Calibri"/>
        </w:rPr>
        <w:t xml:space="preserve">requirements of the </w:t>
      </w:r>
      <w:r w:rsidR="00B50069" w:rsidRPr="00C40B08">
        <w:rPr>
          <w:rFonts w:ascii="Calibri" w:hAnsi="Calibri"/>
        </w:rPr>
        <w:t xml:space="preserve">U.S. Environmental Protection Agency (EPA)’s </w:t>
      </w:r>
      <w:r w:rsidR="00CE5A0E" w:rsidRPr="00C40B08">
        <w:rPr>
          <w:rFonts w:ascii="Calibri" w:hAnsi="Calibri"/>
        </w:rPr>
        <w:t>Clean Power Plan</w:t>
      </w:r>
      <w:r w:rsidR="004437C3" w:rsidRPr="00C40B08">
        <w:rPr>
          <w:rFonts w:ascii="Calibri" w:hAnsi="Calibri"/>
        </w:rPr>
        <w:t xml:space="preserve"> (CPP)</w:t>
      </w:r>
      <w:r w:rsidR="00316470" w:rsidRPr="00C40B08">
        <w:rPr>
          <w:rFonts w:ascii="Calibri" w:hAnsi="Calibri"/>
        </w:rPr>
        <w:t xml:space="preserve">, </w:t>
      </w:r>
      <w:r w:rsidR="00316470" w:rsidRPr="00C40B08">
        <w:rPr>
          <w:rFonts w:ascii="Calibri" w:hAnsi="Calibri"/>
        </w:rPr>
        <w:lastRenderedPageBreak/>
        <w:t xml:space="preserve">which aimed to accelerate the current pace of electricity </w:t>
      </w:r>
      <w:proofErr w:type="spellStart"/>
      <w:r w:rsidR="00316470" w:rsidRPr="00C40B08">
        <w:rPr>
          <w:rFonts w:ascii="Calibri" w:hAnsi="Calibri"/>
        </w:rPr>
        <w:t>decarbonization</w:t>
      </w:r>
      <w:proofErr w:type="spellEnd"/>
      <w:r w:rsidR="00316470" w:rsidRPr="00C40B08">
        <w:rPr>
          <w:rFonts w:ascii="Calibri" w:hAnsi="Calibri"/>
        </w:rPr>
        <w:t xml:space="preserve"> by cutting CO</w:t>
      </w:r>
      <w:r w:rsidR="00316470" w:rsidRPr="00C40B08">
        <w:rPr>
          <w:rFonts w:ascii="Calibri" w:hAnsi="Calibri"/>
          <w:vertAlign w:val="subscript"/>
        </w:rPr>
        <w:t>2</w:t>
      </w:r>
      <w:r w:rsidR="00316470" w:rsidRPr="00C40B08">
        <w:rPr>
          <w:rFonts w:ascii="Calibri" w:hAnsi="Calibri"/>
        </w:rPr>
        <w:t xml:space="preserve"> emissions from the electric sector 32% below 2005 levels by 2030 (US EPA, 2015)</w:t>
      </w:r>
      <w:r w:rsidR="00CE5A0E" w:rsidRPr="00C40B08">
        <w:rPr>
          <w:rFonts w:ascii="Calibri" w:hAnsi="Calibri"/>
        </w:rPr>
        <w:t xml:space="preserve">. </w:t>
      </w:r>
      <w:r w:rsidR="00B50069" w:rsidRPr="00C40B08">
        <w:rPr>
          <w:rFonts w:ascii="Calibri" w:hAnsi="Calibri"/>
        </w:rPr>
        <w:t xml:space="preserve">After issuing proposed rules in 2014, </w:t>
      </w:r>
      <w:r w:rsidR="00316470" w:rsidRPr="00C40B08">
        <w:rPr>
          <w:rFonts w:ascii="Calibri" w:hAnsi="Calibri"/>
        </w:rPr>
        <w:t>EPA</w:t>
      </w:r>
      <w:r w:rsidR="00B50069" w:rsidRPr="00C40B08">
        <w:rPr>
          <w:rFonts w:ascii="Calibri" w:hAnsi="Calibri"/>
        </w:rPr>
        <w:t xml:space="preserve"> issued final guidelines limiting CO</w:t>
      </w:r>
      <w:r w:rsidR="00B50069" w:rsidRPr="00C40B08">
        <w:rPr>
          <w:rFonts w:ascii="Calibri" w:hAnsi="Calibri"/>
          <w:vertAlign w:val="subscript"/>
        </w:rPr>
        <w:t>2</w:t>
      </w:r>
      <w:r w:rsidR="00B50069" w:rsidRPr="00C40B08">
        <w:rPr>
          <w:rFonts w:ascii="Calibri" w:hAnsi="Calibri"/>
        </w:rPr>
        <w:t xml:space="preserve"> emissions from existing fossil-fueled electric generating units (EGUs) in 2015.</w:t>
      </w:r>
      <w:r w:rsidR="00B50069" w:rsidRPr="00C40B08">
        <w:rPr>
          <w:rStyle w:val="FootnoteReference"/>
          <w:rFonts w:ascii="Calibri" w:hAnsi="Calibri"/>
        </w:rPr>
        <w:footnoteReference w:id="1"/>
      </w:r>
      <w:r w:rsidR="00B50069" w:rsidRPr="00C40B08">
        <w:rPr>
          <w:rFonts w:ascii="Calibri" w:hAnsi="Calibri"/>
        </w:rPr>
        <w:t xml:space="preserve"> </w:t>
      </w:r>
      <w:r w:rsidRPr="00C40B08">
        <w:rPr>
          <w:rFonts w:ascii="Calibri" w:hAnsi="Calibri"/>
        </w:rPr>
        <w:t xml:space="preserve">Energy efficiency was a building block in EPA’s calculation of state-specific </w:t>
      </w:r>
      <w:r w:rsidR="00316470" w:rsidRPr="00C40B08">
        <w:rPr>
          <w:rFonts w:ascii="Calibri" w:hAnsi="Calibri"/>
        </w:rPr>
        <w:t>CO</w:t>
      </w:r>
      <w:r w:rsidR="00316470" w:rsidRPr="00C40B08">
        <w:rPr>
          <w:rFonts w:ascii="Calibri" w:hAnsi="Calibri"/>
          <w:vertAlign w:val="subscript"/>
        </w:rPr>
        <w:t>2</w:t>
      </w:r>
      <w:r w:rsidR="00316470" w:rsidRPr="00C40B08">
        <w:rPr>
          <w:rFonts w:ascii="Calibri" w:hAnsi="Calibri"/>
        </w:rPr>
        <w:t xml:space="preserve"> caps </w:t>
      </w:r>
      <w:r w:rsidRPr="00C40B08">
        <w:rPr>
          <w:rFonts w:ascii="Calibri" w:hAnsi="Calibri"/>
        </w:rPr>
        <w:t xml:space="preserve">in the </w:t>
      </w:r>
      <w:r w:rsidR="00316470" w:rsidRPr="00C40B08">
        <w:rPr>
          <w:rFonts w:ascii="Calibri" w:hAnsi="Calibri"/>
        </w:rPr>
        <w:t xml:space="preserve">proposed rule, but it </w:t>
      </w:r>
      <w:r w:rsidRPr="00C40B08">
        <w:rPr>
          <w:rFonts w:ascii="Calibri" w:hAnsi="Calibri"/>
        </w:rPr>
        <w:t xml:space="preserve">was removed from the calculation of limits in the final rule, </w:t>
      </w:r>
      <w:r w:rsidR="00316470" w:rsidRPr="00C40B08">
        <w:rPr>
          <w:rFonts w:ascii="Calibri" w:hAnsi="Calibri"/>
        </w:rPr>
        <w:t>while remaining</w:t>
      </w:r>
      <w:r w:rsidRPr="00C40B08">
        <w:rPr>
          <w:rFonts w:ascii="Calibri" w:hAnsi="Calibri"/>
        </w:rPr>
        <w:t xml:space="preserve"> an eligible </w:t>
      </w:r>
      <w:r w:rsidR="00316470" w:rsidRPr="00C40B08">
        <w:rPr>
          <w:rFonts w:ascii="Calibri" w:hAnsi="Calibri"/>
        </w:rPr>
        <w:t xml:space="preserve">compliance </w:t>
      </w:r>
      <w:r w:rsidRPr="00C40B08">
        <w:rPr>
          <w:rFonts w:ascii="Calibri" w:hAnsi="Calibri"/>
        </w:rPr>
        <w:t>option. This complicated treatment created misunderstandings among analysts and policymakers, some of whom erroneously assumed that end-use energy efficiency was no longer an eligible compliance mechanism (</w:t>
      </w:r>
      <w:r w:rsidRPr="00C40B08">
        <w:rPr>
          <w:rFonts w:ascii="Calibri" w:eastAsia="Times New Roman" w:hAnsi="Calibri"/>
        </w:rPr>
        <w:t>Bushnell, et al., 2017)</w:t>
      </w:r>
      <w:r w:rsidRPr="00C40B08">
        <w:rPr>
          <w:rFonts w:ascii="Calibri" w:hAnsi="Calibri"/>
        </w:rPr>
        <w:t xml:space="preserve">. </w:t>
      </w:r>
    </w:p>
    <w:p w14:paraId="0B3341B2" w14:textId="2BE06DB4" w:rsidR="00947355" w:rsidRPr="00C40B08" w:rsidRDefault="00316470" w:rsidP="000656C9">
      <w:pPr>
        <w:spacing w:before="100" w:beforeAutospacing="1" w:after="100" w:afterAutospacing="1" w:line="276" w:lineRule="auto"/>
        <w:rPr>
          <w:rFonts w:ascii="Calibri" w:hAnsi="Calibri"/>
        </w:rPr>
      </w:pPr>
      <w:r w:rsidRPr="00C40B08">
        <w:rPr>
          <w:rFonts w:ascii="Calibri" w:hAnsi="Calibri"/>
        </w:rPr>
        <w:t>Second</w:t>
      </w:r>
      <w:r w:rsidR="00947355" w:rsidRPr="00C40B08">
        <w:rPr>
          <w:rFonts w:ascii="Calibri" w:hAnsi="Calibri"/>
        </w:rPr>
        <w:t xml:space="preserve">, stakeholders raised concerns that energy-efficiency carbon allowances and emission rate credits might be difficult to qualify in trading systems because of rigorous monitoring and verification requirements. </w:t>
      </w:r>
      <w:r w:rsidR="00AF60B5">
        <w:rPr>
          <w:rFonts w:ascii="Calibri" w:hAnsi="Calibri"/>
        </w:rPr>
        <w:t>While</w:t>
      </w:r>
      <w:r w:rsidR="00947355" w:rsidRPr="00C40B08">
        <w:rPr>
          <w:rFonts w:ascii="Calibri" w:hAnsi="Calibri"/>
        </w:rPr>
        <w:t xml:space="preserve"> energy efficiency as a </w:t>
      </w:r>
      <w:r w:rsidR="00C82871" w:rsidRPr="00C40B08">
        <w:rPr>
          <w:rFonts w:ascii="Calibri" w:hAnsi="Calibri"/>
        </w:rPr>
        <w:t>CO</w:t>
      </w:r>
      <w:r w:rsidR="00C82871" w:rsidRPr="00C40B08">
        <w:rPr>
          <w:rFonts w:ascii="Calibri" w:hAnsi="Calibri"/>
          <w:vertAlign w:val="subscript"/>
        </w:rPr>
        <w:t>2</w:t>
      </w:r>
      <w:r w:rsidR="00C82871">
        <w:rPr>
          <w:rFonts w:ascii="Calibri" w:hAnsi="Calibri"/>
          <w:vertAlign w:val="subscript"/>
        </w:rPr>
        <w:t xml:space="preserve"> </w:t>
      </w:r>
      <w:r w:rsidR="00947355" w:rsidRPr="00C40B08">
        <w:rPr>
          <w:rFonts w:ascii="Calibri" w:hAnsi="Calibri"/>
        </w:rPr>
        <w:t>compliance strategy</w:t>
      </w:r>
      <w:r w:rsidR="00AF60B5">
        <w:rPr>
          <w:rFonts w:ascii="Calibri" w:hAnsi="Calibri"/>
        </w:rPr>
        <w:t xml:space="preserve"> is well honed in some regions </w:t>
      </w:r>
      <w:r w:rsidR="00C82871">
        <w:rPr>
          <w:rFonts w:ascii="Calibri" w:hAnsi="Calibri"/>
        </w:rPr>
        <w:t>where cap and trade systems have operated</w:t>
      </w:r>
      <w:r w:rsidR="00FD47EE">
        <w:rPr>
          <w:rFonts w:ascii="Calibri" w:hAnsi="Calibri"/>
        </w:rPr>
        <w:t xml:space="preserve">, </w:t>
      </w:r>
      <w:r w:rsidR="00C82871">
        <w:rPr>
          <w:rFonts w:ascii="Calibri" w:hAnsi="Calibri"/>
        </w:rPr>
        <w:t>other regions have limited experience with it</w:t>
      </w:r>
      <w:r w:rsidR="00FD47EE">
        <w:rPr>
          <w:rFonts w:ascii="Calibri" w:hAnsi="Calibri"/>
        </w:rPr>
        <w:t xml:space="preserve"> (Chesney, et al., 2016)</w:t>
      </w:r>
      <w:r w:rsidR="00947355" w:rsidRPr="00C40B08">
        <w:rPr>
          <w:rFonts w:ascii="Calibri" w:hAnsi="Calibri"/>
        </w:rPr>
        <w:t>.</w:t>
      </w:r>
    </w:p>
    <w:p w14:paraId="13DB01C4" w14:textId="68163B3E" w:rsidR="00C601E2" w:rsidRPr="007B3F14" w:rsidRDefault="00316470" w:rsidP="000656C9">
      <w:pPr>
        <w:spacing w:before="100" w:beforeAutospacing="1" w:after="100" w:afterAutospacing="1" w:line="276" w:lineRule="auto"/>
        <w:rPr>
          <w:rFonts w:ascii="Calibri" w:hAnsi="Calibri"/>
        </w:rPr>
      </w:pPr>
      <w:r w:rsidRPr="00C40B08">
        <w:rPr>
          <w:rFonts w:ascii="Calibri" w:hAnsi="Calibri"/>
        </w:rPr>
        <w:t xml:space="preserve">Third, </w:t>
      </w:r>
      <w:r w:rsidR="00DD7D03" w:rsidRPr="00C40B08">
        <w:rPr>
          <w:rFonts w:ascii="Calibri" w:hAnsi="Calibri"/>
        </w:rPr>
        <w:t>most least-cost utility modeling tools are not able to adequately represent energy efficiency</w:t>
      </w:r>
      <w:r w:rsidR="00C601E2" w:rsidRPr="00C40B08">
        <w:rPr>
          <w:rFonts w:ascii="Calibri" w:hAnsi="Calibri"/>
        </w:rPr>
        <w:t>.</w:t>
      </w:r>
      <w:r w:rsidR="00DD7D03" w:rsidRPr="00C40B08">
        <w:rPr>
          <w:rFonts w:ascii="Calibri" w:hAnsi="Calibri"/>
        </w:rPr>
        <w:t xml:space="preserve"> </w:t>
      </w:r>
      <w:r w:rsidRPr="00C40B08">
        <w:rPr>
          <w:rFonts w:ascii="Calibri" w:hAnsi="Calibri"/>
        </w:rPr>
        <w:t>As a result,</w:t>
      </w:r>
      <w:r w:rsidR="00C601E2" w:rsidRPr="00C40B08">
        <w:rPr>
          <w:rFonts w:ascii="Calibri" w:hAnsi="Calibri"/>
        </w:rPr>
        <w:t xml:space="preserve"> some studies have ignored energy efficiency entirely </w:t>
      </w:r>
      <w:r w:rsidRPr="00C40B08">
        <w:rPr>
          <w:rFonts w:ascii="Calibri" w:hAnsi="Calibri"/>
        </w:rPr>
        <w:t>when examining CO</w:t>
      </w:r>
      <w:r w:rsidRPr="00C40B08">
        <w:rPr>
          <w:rFonts w:ascii="Calibri" w:hAnsi="Calibri"/>
          <w:vertAlign w:val="subscript"/>
        </w:rPr>
        <w:t xml:space="preserve">2 </w:t>
      </w:r>
      <w:r w:rsidRPr="00C40B08">
        <w:rPr>
          <w:rFonts w:ascii="Calibri" w:hAnsi="Calibri"/>
        </w:rPr>
        <w:t>mitigation options</w:t>
      </w:r>
      <w:r w:rsidR="00C601E2" w:rsidRPr="00C40B08">
        <w:rPr>
          <w:rFonts w:ascii="Calibri" w:hAnsi="Calibri"/>
        </w:rPr>
        <w:t xml:space="preserve"> (Peters and </w:t>
      </w:r>
      <w:proofErr w:type="spellStart"/>
      <w:r w:rsidR="00C601E2" w:rsidRPr="00C40B08">
        <w:rPr>
          <w:rFonts w:ascii="Calibri" w:hAnsi="Calibri"/>
        </w:rPr>
        <w:t>Hertel</w:t>
      </w:r>
      <w:proofErr w:type="spellEnd"/>
      <w:r w:rsidR="00C601E2" w:rsidRPr="00C40B08">
        <w:rPr>
          <w:rFonts w:ascii="Calibri" w:hAnsi="Calibri"/>
        </w:rPr>
        <w:t xml:space="preserve">, 2016). </w:t>
      </w:r>
      <w:r w:rsidR="007B3F14">
        <w:rPr>
          <w:rFonts w:ascii="Calibri" w:hAnsi="Calibri"/>
        </w:rPr>
        <w:t>Others simply assume an exogenous</w:t>
      </w:r>
      <w:r w:rsidR="00C601E2" w:rsidRPr="00C40B08">
        <w:rPr>
          <w:rFonts w:ascii="Calibri" w:hAnsi="Calibri"/>
        </w:rPr>
        <w:t xml:space="preserve"> reduction of energy demand, associated with a step-curve of costs possessing little granularity. Such short cuts are necessary when modeling platforms do not compete energy supply and demand resource options, as is the case with the Integrated Planning Model (IPM) used by EPA (2015a), MJ Bradley &amp; Associates (2016), and the Bipartisan Policy Center (BPC, 2016), the Haiku model used by Resources for the Future (RFF, 2016), US-REGEN used by the Electric Power Research Institute (EPRI, 2016), FACETS-ELC used by Wright and </w:t>
      </w:r>
      <w:proofErr w:type="spellStart"/>
      <w:r w:rsidR="00C601E2" w:rsidRPr="00C40B08">
        <w:rPr>
          <w:rFonts w:ascii="Calibri" w:hAnsi="Calibri"/>
        </w:rPr>
        <w:t>Kunudia</w:t>
      </w:r>
      <w:proofErr w:type="spellEnd"/>
      <w:r w:rsidR="00C601E2" w:rsidRPr="00C40B08">
        <w:rPr>
          <w:rFonts w:ascii="Calibri" w:hAnsi="Calibri"/>
        </w:rPr>
        <w:t xml:space="preserve"> (2016), and the </w:t>
      </w:r>
      <w:proofErr w:type="spellStart"/>
      <w:r w:rsidR="00C601E2" w:rsidRPr="00C40B08">
        <w:rPr>
          <w:rFonts w:ascii="Calibri" w:hAnsi="Calibri"/>
        </w:rPr>
        <w:t>MARket</w:t>
      </w:r>
      <w:proofErr w:type="spellEnd"/>
      <w:r w:rsidR="00C601E2" w:rsidRPr="00C40B08">
        <w:rPr>
          <w:rFonts w:ascii="Calibri" w:hAnsi="Calibri"/>
        </w:rPr>
        <w:t xml:space="preserve"> </w:t>
      </w:r>
      <w:proofErr w:type="spellStart"/>
      <w:r w:rsidR="00C601E2" w:rsidRPr="00C40B08">
        <w:rPr>
          <w:rFonts w:ascii="Calibri" w:hAnsi="Calibri"/>
        </w:rPr>
        <w:t>ALlocation</w:t>
      </w:r>
      <w:proofErr w:type="spellEnd"/>
      <w:r w:rsidR="00C601E2" w:rsidRPr="00C40B08">
        <w:rPr>
          <w:rFonts w:ascii="Calibri" w:hAnsi="Calibri"/>
        </w:rPr>
        <w:t xml:space="preserve"> (MARKAL) model used by Shearer, et al. (2014). While the IPM used by EPA borrows forecasts of peak load and regional electricity consumption from the EIA’s </w:t>
      </w:r>
      <w:r w:rsidRPr="00C40B08">
        <w:rPr>
          <w:rFonts w:ascii="Calibri" w:hAnsi="Calibri"/>
        </w:rPr>
        <w:t>National Energy Modeling System (NEMS)</w:t>
      </w:r>
      <w:r w:rsidR="00C601E2" w:rsidRPr="00C40B08">
        <w:rPr>
          <w:rFonts w:ascii="Calibri" w:hAnsi="Calibri"/>
        </w:rPr>
        <w:t xml:space="preserve">, the IPM possesses none of the </w:t>
      </w:r>
      <w:r w:rsidR="007B3F14">
        <w:rPr>
          <w:rFonts w:ascii="Calibri" w:hAnsi="Calibri"/>
        </w:rPr>
        <w:t>detailed level</w:t>
      </w:r>
      <w:r w:rsidR="00C601E2" w:rsidRPr="00C40B08">
        <w:rPr>
          <w:rFonts w:ascii="Calibri" w:hAnsi="Calibri"/>
        </w:rPr>
        <w:t xml:space="preserve"> of demand-</w:t>
      </w:r>
      <w:r w:rsidR="007B3F14">
        <w:rPr>
          <w:rFonts w:ascii="Calibri" w:hAnsi="Calibri"/>
        </w:rPr>
        <w:t>side energy modeling offered by</w:t>
      </w:r>
      <w:r w:rsidR="00C601E2" w:rsidRPr="00C40B08">
        <w:rPr>
          <w:rFonts w:ascii="Calibri" w:hAnsi="Calibri"/>
        </w:rPr>
        <w:t xml:space="preserve"> NEMS. </w:t>
      </w:r>
      <w:r w:rsidR="007B3F14">
        <w:rPr>
          <w:rFonts w:ascii="Calibri" w:hAnsi="Calibri"/>
        </w:rPr>
        <w:t>After applying an exogenous electricity load forecast,</w:t>
      </w:r>
      <w:r w:rsidR="00C601E2" w:rsidRPr="00C40B08">
        <w:rPr>
          <w:rFonts w:ascii="Calibri" w:hAnsi="Calibri"/>
        </w:rPr>
        <w:t xml:space="preserve"> the power sector and its fuel supplies are </w:t>
      </w:r>
      <w:r w:rsidR="007B3F14">
        <w:rPr>
          <w:rFonts w:ascii="Calibri" w:hAnsi="Calibri"/>
        </w:rPr>
        <w:t xml:space="preserve">then </w:t>
      </w:r>
      <w:r w:rsidR="00C601E2" w:rsidRPr="00C40B08">
        <w:rPr>
          <w:rFonts w:ascii="Calibri" w:hAnsi="Calibri"/>
        </w:rPr>
        <w:t xml:space="preserve">modeled. For example, EPA’s Regulatory Impact Analysis (RIA) </w:t>
      </w:r>
      <w:r w:rsidR="007B3F14">
        <w:rPr>
          <w:rFonts w:ascii="Calibri" w:hAnsi="Calibri"/>
        </w:rPr>
        <w:t>externally</w:t>
      </w:r>
      <w:r w:rsidR="00C601E2" w:rsidRPr="00C40B08">
        <w:rPr>
          <w:rFonts w:ascii="Calibri" w:hAnsi="Calibri"/>
        </w:rPr>
        <w:t xml:space="preserve"> imposes state estimates of energy efficiency as load reductions, assuming that the first 0.5% increment of energy efficiency would cost $1,100/MWh (in $2011) decreasing to a cost of $660/MWh for an increment of 1% (EPA, 2015b, Table 27). BPC (2016) and RFF (2016) </w:t>
      </w:r>
      <w:r w:rsidR="00C601E2" w:rsidRPr="00C40B08">
        <w:rPr>
          <w:rFonts w:ascii="Calibri" w:eastAsia="Times New Roman" w:hAnsi="Calibri"/>
        </w:rPr>
        <w:t xml:space="preserve">assume that the supply of incremental energy efficiency is half </w:t>
      </w:r>
      <w:r w:rsidR="00C601E2" w:rsidRPr="00C40B08">
        <w:rPr>
          <w:rFonts w:ascii="Calibri" w:hAnsi="Calibri"/>
        </w:rPr>
        <w:t xml:space="preserve">the rate of the EPA’s RIA. BPC </w:t>
      </w:r>
      <w:r w:rsidR="00C601E2" w:rsidRPr="00C40B08">
        <w:rPr>
          <w:rFonts w:ascii="Calibri" w:hAnsi="Calibri"/>
        </w:rPr>
        <w:lastRenderedPageBreak/>
        <w:t xml:space="preserve">(2016) uses a </w:t>
      </w:r>
      <w:r w:rsidR="00C601E2" w:rsidRPr="00C40B08">
        <w:rPr>
          <w:rFonts w:ascii="Calibri" w:eastAsia="Times New Roman" w:hAnsi="Calibri"/>
        </w:rPr>
        <w:t xml:space="preserve">3-step cost curve ranging from </w:t>
      </w:r>
      <w:r w:rsidR="007B3F14">
        <w:rPr>
          <w:rFonts w:ascii="Calibri" w:eastAsia="Times New Roman" w:hAnsi="Calibri"/>
        </w:rPr>
        <w:t>$230</w:t>
      </w:r>
      <w:r w:rsidR="00C601E2" w:rsidRPr="00C40B08">
        <w:rPr>
          <w:rFonts w:ascii="Calibri" w:eastAsia="Times New Roman" w:hAnsi="Calibri"/>
        </w:rPr>
        <w:t xml:space="preserve"> to </w:t>
      </w:r>
      <w:r w:rsidR="007B3F14">
        <w:rPr>
          <w:rFonts w:ascii="Calibri" w:eastAsia="Times New Roman" w:hAnsi="Calibri"/>
        </w:rPr>
        <w:t>$320/M</w:t>
      </w:r>
      <w:r w:rsidR="00C601E2" w:rsidRPr="00C40B08">
        <w:rPr>
          <w:rFonts w:ascii="Calibri" w:eastAsia="Times New Roman" w:hAnsi="Calibri"/>
        </w:rPr>
        <w:t>Wh,</w:t>
      </w:r>
      <w:r w:rsidR="00C601E2" w:rsidRPr="00C40B08">
        <w:rPr>
          <w:rStyle w:val="FootnoteReference"/>
          <w:rFonts w:ascii="Calibri" w:hAnsi="Calibri"/>
        </w:rPr>
        <w:footnoteReference w:id="2"/>
      </w:r>
      <w:r w:rsidR="00C601E2" w:rsidRPr="00C40B08">
        <w:rPr>
          <w:rFonts w:ascii="Calibri" w:eastAsia="Times New Roman" w:hAnsi="Calibri"/>
        </w:rPr>
        <w:t xml:space="preserve"> while RFF (2016) assumes a single undis</w:t>
      </w:r>
      <w:r w:rsidR="007B3F14">
        <w:rPr>
          <w:rFonts w:ascii="Calibri" w:eastAsia="Times New Roman" w:hAnsi="Calibri"/>
        </w:rPr>
        <w:t>counted lifetime cost of $400/M</w:t>
      </w:r>
      <w:r w:rsidR="00C601E2" w:rsidRPr="00C40B08">
        <w:rPr>
          <w:rFonts w:ascii="Calibri" w:eastAsia="Times New Roman" w:hAnsi="Calibri"/>
        </w:rPr>
        <w:t>Wh.</w:t>
      </w:r>
      <w:r w:rsidR="004437C3" w:rsidRPr="00C40B08">
        <w:rPr>
          <w:rFonts w:ascii="Calibri" w:eastAsia="Times New Roman" w:hAnsi="Calibri"/>
        </w:rPr>
        <w:t xml:space="preserve"> </w:t>
      </w:r>
    </w:p>
    <w:p w14:paraId="6FDAEDAB" w14:textId="338986A5" w:rsidR="00DD7D03" w:rsidRPr="00C40B08" w:rsidRDefault="00FA0690" w:rsidP="000656C9">
      <w:pPr>
        <w:spacing w:before="100" w:beforeAutospacing="1" w:after="100" w:afterAutospacing="1" w:line="276" w:lineRule="auto"/>
        <w:rPr>
          <w:rFonts w:ascii="Calibri" w:hAnsi="Calibri"/>
        </w:rPr>
      </w:pPr>
      <w:r>
        <w:rPr>
          <w:rFonts w:ascii="Calibri" w:eastAsia="Times New Roman" w:hAnsi="Calibri"/>
        </w:rPr>
        <w:t xml:space="preserve">By treating </w:t>
      </w:r>
      <w:r w:rsidR="00C601E2" w:rsidRPr="00C40B08">
        <w:rPr>
          <w:rFonts w:ascii="Calibri" w:eastAsia="Times New Roman" w:hAnsi="Calibri"/>
        </w:rPr>
        <w:t>energy efficiency as an exogenous resource</w:t>
      </w:r>
      <w:r w:rsidR="00985088">
        <w:rPr>
          <w:rFonts w:ascii="Calibri" w:eastAsia="Times New Roman" w:hAnsi="Calibri"/>
        </w:rPr>
        <w:t>,</w:t>
      </w:r>
      <w:r w:rsidR="00813A2F">
        <w:rPr>
          <w:rFonts w:ascii="Calibri" w:eastAsia="Times New Roman" w:hAnsi="Calibri"/>
        </w:rPr>
        <w:t xml:space="preserve"> </w:t>
      </w:r>
      <w:r w:rsidR="00985088">
        <w:rPr>
          <w:rFonts w:ascii="Calibri" w:eastAsia="Times New Roman" w:hAnsi="Calibri"/>
        </w:rPr>
        <w:t xml:space="preserve">models cannot reflect interactions such as when supply-side </w:t>
      </w:r>
      <w:r w:rsidR="00C601E2" w:rsidRPr="00C40B08">
        <w:rPr>
          <w:rFonts w:ascii="Calibri" w:eastAsia="Times New Roman" w:hAnsi="Calibri"/>
        </w:rPr>
        <w:t xml:space="preserve">investments </w:t>
      </w:r>
      <w:r w:rsidR="00985088">
        <w:rPr>
          <w:rFonts w:ascii="Calibri" w:eastAsia="Times New Roman" w:hAnsi="Calibri"/>
        </w:rPr>
        <w:t xml:space="preserve">elevate electricity prices and make demand-side management </w:t>
      </w:r>
      <w:r w:rsidR="00C601E2" w:rsidRPr="00C40B08">
        <w:rPr>
          <w:rFonts w:ascii="Calibri" w:eastAsia="Times New Roman" w:hAnsi="Calibri"/>
        </w:rPr>
        <w:t xml:space="preserve">more economically attractive. </w:t>
      </w:r>
      <w:r w:rsidR="00985088">
        <w:rPr>
          <w:rFonts w:ascii="Calibri" w:eastAsia="Times New Roman" w:hAnsi="Calibri"/>
        </w:rPr>
        <w:t>S</w:t>
      </w:r>
      <w:r w:rsidR="00C601E2" w:rsidRPr="00C40B08">
        <w:rPr>
          <w:rFonts w:ascii="Calibri" w:eastAsia="Times New Roman" w:hAnsi="Calibri"/>
        </w:rPr>
        <w:t>uperior modeling approach</w:t>
      </w:r>
      <w:r w:rsidR="00985088">
        <w:rPr>
          <w:rFonts w:ascii="Calibri" w:eastAsia="Times New Roman" w:hAnsi="Calibri"/>
        </w:rPr>
        <w:t>es are needed, with</w:t>
      </w:r>
      <w:r w:rsidR="00C601E2" w:rsidRPr="00C40B08">
        <w:rPr>
          <w:rFonts w:ascii="Calibri" w:eastAsia="Times New Roman" w:hAnsi="Calibri"/>
        </w:rPr>
        <w:t xml:space="preserve"> highly articulated </w:t>
      </w:r>
      <w:r w:rsidR="00580279" w:rsidRPr="00C40B08">
        <w:rPr>
          <w:rFonts w:ascii="Calibri" w:eastAsia="Times New Roman" w:hAnsi="Calibri"/>
        </w:rPr>
        <w:t>specification</w:t>
      </w:r>
      <w:r w:rsidR="00985088">
        <w:rPr>
          <w:rFonts w:ascii="Calibri" w:eastAsia="Times New Roman" w:hAnsi="Calibri"/>
        </w:rPr>
        <w:t>s</w:t>
      </w:r>
      <w:r w:rsidR="00C601E2" w:rsidRPr="00C40B08">
        <w:rPr>
          <w:rFonts w:ascii="Calibri" w:eastAsia="Times New Roman" w:hAnsi="Calibri"/>
        </w:rPr>
        <w:t xml:space="preserve"> of end-use technologies embedded in a least-cost optimization algorithm that allows demand- and supply-side energy resources to compete head-to-head. </w:t>
      </w:r>
    </w:p>
    <w:p w14:paraId="4C2E0F25" w14:textId="4E741A93" w:rsidR="00D4582E" w:rsidRPr="00C40B08" w:rsidRDefault="00E15909" w:rsidP="000656C9">
      <w:pPr>
        <w:pStyle w:val="ListParagraph"/>
        <w:numPr>
          <w:ilvl w:val="0"/>
          <w:numId w:val="1"/>
        </w:numPr>
        <w:spacing w:line="276" w:lineRule="auto"/>
        <w:outlineLvl w:val="0"/>
        <w:rPr>
          <w:rFonts w:ascii="Calibri" w:hAnsi="Calibri" w:cs="Times New Roman"/>
          <w:b/>
          <w:sz w:val="24"/>
          <w:szCs w:val="24"/>
        </w:rPr>
      </w:pPr>
      <w:r w:rsidRPr="00C40B08">
        <w:rPr>
          <w:rFonts w:ascii="Calibri" w:hAnsi="Calibri" w:cs="Times New Roman"/>
          <w:b/>
          <w:sz w:val="24"/>
          <w:szCs w:val="24"/>
        </w:rPr>
        <w:t>Development of Hypotheses</w:t>
      </w:r>
    </w:p>
    <w:p w14:paraId="27F40C78" w14:textId="73979A67" w:rsidR="00380115" w:rsidRPr="00C40B08" w:rsidRDefault="001302ED" w:rsidP="000656C9">
      <w:pPr>
        <w:spacing w:before="100" w:beforeAutospacing="1" w:after="100" w:afterAutospacing="1" w:line="276" w:lineRule="auto"/>
        <w:rPr>
          <w:rFonts w:ascii="Calibri" w:hAnsi="Calibri"/>
        </w:rPr>
      </w:pPr>
      <w:r w:rsidRPr="00C40B08">
        <w:rPr>
          <w:rFonts w:ascii="Calibri" w:hAnsi="Calibri"/>
        </w:rPr>
        <w:t xml:space="preserve">Given the shortcomings </w:t>
      </w:r>
      <w:r w:rsidR="00813A2F">
        <w:rPr>
          <w:rFonts w:ascii="Calibri" w:hAnsi="Calibri"/>
        </w:rPr>
        <w:t>of prior least-cost mitigation</w:t>
      </w:r>
      <w:r w:rsidR="000079E4" w:rsidRPr="00C40B08">
        <w:rPr>
          <w:rFonts w:ascii="Calibri" w:hAnsi="Calibri"/>
        </w:rPr>
        <w:t xml:space="preserve"> scenario modeling</w:t>
      </w:r>
      <w:r w:rsidRPr="00C40B08">
        <w:rPr>
          <w:rFonts w:ascii="Calibri" w:hAnsi="Calibri"/>
        </w:rPr>
        <w:t xml:space="preserve">, it becomes clear that improved modeling could exposit </w:t>
      </w:r>
      <w:r w:rsidR="003F6BB5" w:rsidRPr="00C40B08">
        <w:rPr>
          <w:rFonts w:ascii="Calibri" w:hAnsi="Calibri"/>
        </w:rPr>
        <w:t xml:space="preserve">new knowledge about the role of energy efficiency. To </w:t>
      </w:r>
      <w:r w:rsidR="00813A2F">
        <w:rPr>
          <w:rFonts w:ascii="Calibri" w:hAnsi="Calibri"/>
        </w:rPr>
        <w:t>structure o</w:t>
      </w:r>
      <w:r w:rsidR="00985088">
        <w:rPr>
          <w:rFonts w:ascii="Calibri" w:hAnsi="Calibri"/>
        </w:rPr>
        <w:t>u</w:t>
      </w:r>
      <w:r w:rsidR="00813A2F">
        <w:rPr>
          <w:rFonts w:ascii="Calibri" w:hAnsi="Calibri"/>
        </w:rPr>
        <w:t xml:space="preserve">r inquiry and </w:t>
      </w:r>
      <w:r w:rsidR="003F6BB5" w:rsidRPr="00C40B08">
        <w:rPr>
          <w:rFonts w:ascii="Calibri" w:hAnsi="Calibri"/>
        </w:rPr>
        <w:t>refine expectations, w</w:t>
      </w:r>
      <w:r w:rsidR="00E15909" w:rsidRPr="00C40B08">
        <w:rPr>
          <w:rFonts w:ascii="Calibri" w:hAnsi="Calibri"/>
        </w:rPr>
        <w:t xml:space="preserve">e propose </w:t>
      </w:r>
      <w:r w:rsidR="00F340D2" w:rsidRPr="00C40B08">
        <w:rPr>
          <w:rFonts w:ascii="Calibri" w:hAnsi="Calibri"/>
        </w:rPr>
        <w:t>four</w:t>
      </w:r>
      <w:r w:rsidR="00E15909" w:rsidRPr="00C40B08">
        <w:rPr>
          <w:rFonts w:ascii="Calibri" w:hAnsi="Calibri"/>
        </w:rPr>
        <w:t xml:space="preserve"> </w:t>
      </w:r>
      <w:r w:rsidR="00985088">
        <w:rPr>
          <w:rFonts w:ascii="Calibri" w:hAnsi="Calibri"/>
        </w:rPr>
        <w:t xml:space="preserve">research </w:t>
      </w:r>
      <w:r w:rsidR="00E15909" w:rsidRPr="00C40B08">
        <w:rPr>
          <w:rFonts w:ascii="Calibri" w:hAnsi="Calibri"/>
        </w:rPr>
        <w:t>hypotheses</w:t>
      </w:r>
      <w:r w:rsidR="00985088">
        <w:rPr>
          <w:rFonts w:ascii="Calibri" w:hAnsi="Calibri"/>
        </w:rPr>
        <w:t>.</w:t>
      </w:r>
    </w:p>
    <w:p w14:paraId="0E6CBA40" w14:textId="3A10A866" w:rsidR="00663C32" w:rsidRPr="00985088" w:rsidRDefault="00E15909" w:rsidP="000656C9">
      <w:pPr>
        <w:widowControl w:val="0"/>
        <w:autoSpaceDE w:val="0"/>
        <w:autoSpaceDN w:val="0"/>
        <w:adjustRightInd w:val="0"/>
        <w:spacing w:before="100" w:beforeAutospacing="1" w:after="100" w:afterAutospacing="1" w:line="276" w:lineRule="auto"/>
        <w:rPr>
          <w:rFonts w:ascii="Calibri" w:hAnsi="Calibri"/>
          <w:color w:val="131413"/>
        </w:rPr>
      </w:pPr>
      <w:r w:rsidRPr="00985088">
        <w:rPr>
          <w:rFonts w:ascii="Calibri" w:hAnsi="Calibri"/>
        </w:rPr>
        <w:t xml:space="preserve">Hypothesis 1 </w:t>
      </w:r>
      <w:r w:rsidR="00F340D2" w:rsidRPr="00985088">
        <w:rPr>
          <w:rFonts w:ascii="Calibri" w:hAnsi="Calibri"/>
        </w:rPr>
        <w:t xml:space="preserve">derives from the large body of literature documenting the low </w:t>
      </w:r>
      <w:proofErr w:type="spellStart"/>
      <w:r w:rsidR="00F340D2" w:rsidRPr="00985088">
        <w:rPr>
          <w:rFonts w:ascii="Calibri" w:hAnsi="Calibri"/>
        </w:rPr>
        <w:t>levelized</w:t>
      </w:r>
      <w:proofErr w:type="spellEnd"/>
      <w:r w:rsidR="00F340D2" w:rsidRPr="00985088">
        <w:rPr>
          <w:rFonts w:ascii="Calibri" w:hAnsi="Calibri"/>
        </w:rPr>
        <w:t xml:space="preserve"> cost of saving electricity (Brown</w:t>
      </w:r>
      <w:r w:rsidR="00E10728" w:rsidRPr="00985088">
        <w:rPr>
          <w:rFonts w:ascii="Calibri" w:hAnsi="Calibri"/>
        </w:rPr>
        <w:t xml:space="preserve"> and Wang, 2015</w:t>
      </w:r>
      <w:r w:rsidR="00F340D2" w:rsidRPr="00985088">
        <w:rPr>
          <w:rFonts w:ascii="Calibri" w:hAnsi="Calibri"/>
        </w:rPr>
        <w:t xml:space="preserve">). Thus, it </w:t>
      </w:r>
      <w:r w:rsidRPr="00985088">
        <w:rPr>
          <w:rFonts w:ascii="Calibri" w:hAnsi="Calibri"/>
        </w:rPr>
        <w:t xml:space="preserve">postulates that strong energy-efficiency </w:t>
      </w:r>
      <w:r w:rsidR="00812769" w:rsidRPr="00985088">
        <w:rPr>
          <w:rFonts w:ascii="Calibri" w:hAnsi="Calibri"/>
        </w:rPr>
        <w:t>policies w</w:t>
      </w:r>
      <w:r w:rsidRPr="00985088">
        <w:rPr>
          <w:rFonts w:ascii="Calibri" w:hAnsi="Calibri"/>
        </w:rPr>
        <w:t xml:space="preserve">ould make </w:t>
      </w:r>
      <w:r w:rsidR="00E40520" w:rsidRPr="00985088">
        <w:rPr>
          <w:rFonts w:ascii="Calibri" w:eastAsia="Times New Roman" w:hAnsi="Calibri"/>
        </w:rPr>
        <w:t>CO</w:t>
      </w:r>
      <w:r w:rsidR="00E40520" w:rsidRPr="00985088">
        <w:rPr>
          <w:rFonts w:ascii="Calibri" w:eastAsia="Times New Roman" w:hAnsi="Calibri"/>
          <w:vertAlign w:val="subscript"/>
        </w:rPr>
        <w:t xml:space="preserve">2 </w:t>
      </w:r>
      <w:r w:rsidR="00E40520" w:rsidRPr="00985088">
        <w:rPr>
          <w:rFonts w:ascii="Calibri" w:hAnsi="Calibri"/>
        </w:rPr>
        <w:t>mitigation</w:t>
      </w:r>
      <w:r w:rsidR="00961F4C" w:rsidRPr="00985088">
        <w:rPr>
          <w:rFonts w:ascii="Calibri" w:hAnsi="Calibri"/>
        </w:rPr>
        <w:t xml:space="preserve"> </w:t>
      </w:r>
      <w:r w:rsidR="00812769" w:rsidRPr="00985088">
        <w:rPr>
          <w:rFonts w:ascii="Calibri" w:hAnsi="Calibri"/>
        </w:rPr>
        <w:t>more affordable.</w:t>
      </w:r>
      <w:r w:rsidR="00F340D2" w:rsidRPr="00985088">
        <w:rPr>
          <w:rFonts w:ascii="Calibri" w:hAnsi="Calibri"/>
        </w:rPr>
        <w:t xml:space="preserve"> </w:t>
      </w:r>
      <w:r w:rsidR="00DA79D7" w:rsidRPr="00985088">
        <w:rPr>
          <w:rFonts w:ascii="Calibri" w:hAnsi="Calibri"/>
        </w:rPr>
        <w:t>E</w:t>
      </w:r>
      <w:r w:rsidR="00CD7F4C" w:rsidRPr="00985088">
        <w:rPr>
          <w:rFonts w:ascii="Calibri" w:hAnsi="Calibri"/>
        </w:rPr>
        <w:t>nergy efficiency</w:t>
      </w:r>
      <w:r w:rsidR="00ED3CB5" w:rsidRPr="00985088">
        <w:rPr>
          <w:rFonts w:ascii="Calibri" w:hAnsi="Calibri"/>
        </w:rPr>
        <w:t xml:space="preserve"> is seen as the </w:t>
      </w:r>
      <w:r w:rsidR="009F78F1" w:rsidRPr="00985088">
        <w:rPr>
          <w:rFonts w:ascii="Calibri" w:hAnsi="Calibri"/>
        </w:rPr>
        <w:t xml:space="preserve">least-cost energy resource with the potential to </w:t>
      </w:r>
      <w:r w:rsidR="00ED3CB5" w:rsidRPr="00985088">
        <w:rPr>
          <w:rFonts w:ascii="Calibri" w:hAnsi="Calibri"/>
        </w:rPr>
        <w:t xml:space="preserve">dominate as a bridge </w:t>
      </w:r>
      <w:r w:rsidR="009F78F1" w:rsidRPr="00985088">
        <w:rPr>
          <w:rFonts w:ascii="Calibri" w:hAnsi="Calibri"/>
        </w:rPr>
        <w:t>between</w:t>
      </w:r>
      <w:r w:rsidR="00ED3CB5" w:rsidRPr="00985088">
        <w:rPr>
          <w:rFonts w:ascii="Calibri" w:hAnsi="Calibri"/>
        </w:rPr>
        <w:t xml:space="preserve"> the Paris Accord </w:t>
      </w:r>
      <w:r w:rsidR="009F78F1" w:rsidRPr="00985088">
        <w:rPr>
          <w:rFonts w:ascii="Calibri" w:hAnsi="Calibri"/>
        </w:rPr>
        <w:t>and</w:t>
      </w:r>
      <w:r w:rsidR="00ED3CB5" w:rsidRPr="00985088">
        <w:rPr>
          <w:rFonts w:ascii="Calibri" w:hAnsi="Calibri"/>
        </w:rPr>
        <w:t xml:space="preserve"> the </w:t>
      </w:r>
      <w:r w:rsidR="009F78F1" w:rsidRPr="00985088">
        <w:rPr>
          <w:rFonts w:ascii="Calibri" w:hAnsi="Calibri"/>
        </w:rPr>
        <w:t>deeper CO</w:t>
      </w:r>
      <w:r w:rsidR="009F78F1" w:rsidRPr="00985088">
        <w:rPr>
          <w:rFonts w:ascii="Calibri" w:hAnsi="Calibri"/>
          <w:vertAlign w:val="subscript"/>
        </w:rPr>
        <w:t>2</w:t>
      </w:r>
      <w:r w:rsidR="009F78F1" w:rsidRPr="00985088">
        <w:rPr>
          <w:rFonts w:ascii="Calibri" w:hAnsi="Calibri"/>
        </w:rPr>
        <w:t xml:space="preserve"> cuts needed to achieve a </w:t>
      </w:r>
      <w:r w:rsidR="00ED3CB5" w:rsidRPr="00985088">
        <w:rPr>
          <w:rFonts w:ascii="Calibri" w:hAnsi="Calibri"/>
        </w:rPr>
        <w:t>2</w:t>
      </w:r>
      <w:r w:rsidR="00F436D3" w:rsidRPr="00985088">
        <w:rPr>
          <w:rFonts w:ascii="Calibri" w:hAnsi="Calibri"/>
        </w:rPr>
        <w:sym w:font="Symbol" w:char="F0B0"/>
      </w:r>
      <w:r w:rsidR="00ED3CB5" w:rsidRPr="00985088">
        <w:rPr>
          <w:rFonts w:ascii="Calibri" w:hAnsi="Calibri"/>
        </w:rPr>
        <w:t>C maximum threshold for global warming</w:t>
      </w:r>
      <w:r w:rsidR="00F436D3" w:rsidRPr="00985088">
        <w:rPr>
          <w:rFonts w:ascii="Calibri" w:hAnsi="Calibri"/>
        </w:rPr>
        <w:t xml:space="preserve"> </w:t>
      </w:r>
      <w:r w:rsidR="00ED3CB5" w:rsidRPr="00985088">
        <w:rPr>
          <w:rFonts w:ascii="Calibri" w:hAnsi="Calibri"/>
        </w:rPr>
        <w:t xml:space="preserve">(IEA, 2016). </w:t>
      </w:r>
      <w:r w:rsidR="00DA79D7" w:rsidRPr="00985088">
        <w:rPr>
          <w:rFonts w:ascii="Calibri" w:hAnsi="Calibri"/>
          <w:color w:val="131413"/>
        </w:rPr>
        <w:t xml:space="preserve">So why aren’t most U.S. utilities taking advantage of this opportunity? In addition to the fact that </w:t>
      </w:r>
      <w:r w:rsidR="00747E45" w:rsidRPr="00985088">
        <w:rPr>
          <w:rFonts w:ascii="Calibri" w:hAnsi="Calibri"/>
          <w:color w:val="131413"/>
        </w:rPr>
        <w:t>e</w:t>
      </w:r>
      <w:r w:rsidR="00054BCF" w:rsidRPr="00985088">
        <w:rPr>
          <w:rFonts w:ascii="Calibri" w:hAnsi="Calibri"/>
          <w:color w:val="131413"/>
        </w:rPr>
        <w:t>nergy prices do</w:t>
      </w:r>
      <w:r w:rsidR="00747E45" w:rsidRPr="00985088">
        <w:rPr>
          <w:rFonts w:ascii="Calibri" w:hAnsi="Calibri"/>
          <w:color w:val="131413"/>
        </w:rPr>
        <w:t xml:space="preserve"> </w:t>
      </w:r>
      <w:r w:rsidR="00054BCF" w:rsidRPr="00985088">
        <w:rPr>
          <w:rFonts w:ascii="Calibri" w:hAnsi="Calibri"/>
          <w:color w:val="131413"/>
        </w:rPr>
        <w:t>not fully reflect the cost of significant negative</w:t>
      </w:r>
      <w:r w:rsidR="00747E45" w:rsidRPr="00985088">
        <w:rPr>
          <w:rFonts w:ascii="Calibri" w:hAnsi="Calibri"/>
          <w:color w:val="131413"/>
        </w:rPr>
        <w:t xml:space="preserve"> </w:t>
      </w:r>
      <w:r w:rsidR="00054BCF" w:rsidRPr="00985088">
        <w:rPr>
          <w:rFonts w:ascii="Calibri" w:hAnsi="Calibri"/>
          <w:color w:val="131413"/>
        </w:rPr>
        <w:t xml:space="preserve">externalities </w:t>
      </w:r>
      <w:r w:rsidR="00DA79D7" w:rsidRPr="00985088">
        <w:rPr>
          <w:rFonts w:ascii="Calibri" w:hAnsi="Calibri"/>
          <w:color w:val="131413"/>
        </w:rPr>
        <w:t>such as</w:t>
      </w:r>
      <w:r w:rsidR="00054BCF" w:rsidRPr="00985088">
        <w:rPr>
          <w:rFonts w:ascii="Calibri" w:hAnsi="Calibri"/>
          <w:color w:val="131413"/>
        </w:rPr>
        <w:t xml:space="preserve"> climate change (National Research </w:t>
      </w:r>
      <w:r w:rsidR="00054BCF" w:rsidRPr="00985088">
        <w:rPr>
          <w:rFonts w:ascii="Calibri" w:hAnsi="Calibri"/>
          <w:color w:val="0D0D0D" w:themeColor="text1" w:themeTint="F2"/>
        </w:rPr>
        <w:t>Council</w:t>
      </w:r>
      <w:r w:rsidR="001F183A" w:rsidRPr="00985088">
        <w:rPr>
          <w:rFonts w:ascii="Calibri" w:hAnsi="Calibri"/>
          <w:color w:val="0D0D0D" w:themeColor="text1" w:themeTint="F2"/>
        </w:rPr>
        <w:t>,</w:t>
      </w:r>
      <w:r w:rsidR="00054BCF" w:rsidRPr="00985088">
        <w:rPr>
          <w:rFonts w:ascii="Calibri" w:hAnsi="Calibri"/>
          <w:color w:val="0D0D0D" w:themeColor="text1" w:themeTint="F2"/>
        </w:rPr>
        <w:t xml:space="preserve"> 2009)</w:t>
      </w:r>
      <w:r w:rsidR="00DA79D7" w:rsidRPr="00985088">
        <w:rPr>
          <w:rFonts w:ascii="Calibri" w:hAnsi="Calibri"/>
          <w:color w:val="0D0D0D" w:themeColor="text1" w:themeTint="F2"/>
        </w:rPr>
        <w:t xml:space="preserve">, </w:t>
      </w:r>
      <w:r w:rsidR="00747E45" w:rsidRPr="00985088">
        <w:rPr>
          <w:rFonts w:ascii="Calibri" w:hAnsi="Calibri"/>
          <w:color w:val="0D0D0D" w:themeColor="text1" w:themeTint="F2"/>
        </w:rPr>
        <w:t>m</w:t>
      </w:r>
      <w:r w:rsidR="00054BCF" w:rsidRPr="00985088">
        <w:rPr>
          <w:rFonts w:ascii="Calibri" w:hAnsi="Calibri"/>
          <w:color w:val="0D0D0D" w:themeColor="text1" w:themeTint="F2"/>
        </w:rPr>
        <w:t xml:space="preserve">any </w:t>
      </w:r>
      <w:r w:rsidR="00054BCF" w:rsidRPr="00985088">
        <w:rPr>
          <w:rFonts w:ascii="Calibri" w:hAnsi="Calibri"/>
          <w:color w:val="131413"/>
        </w:rPr>
        <w:t>utilities are still locked into conventional business</w:t>
      </w:r>
      <w:r w:rsidR="00747E45" w:rsidRPr="00985088">
        <w:rPr>
          <w:rFonts w:ascii="Calibri" w:hAnsi="Calibri"/>
          <w:color w:val="131413"/>
        </w:rPr>
        <w:t xml:space="preserve"> </w:t>
      </w:r>
      <w:r w:rsidR="00054BCF" w:rsidRPr="00985088">
        <w:rPr>
          <w:rFonts w:ascii="Calibri" w:hAnsi="Calibri"/>
          <w:color w:val="131413"/>
        </w:rPr>
        <w:t xml:space="preserve">models </w:t>
      </w:r>
      <w:r w:rsidR="00DA79D7" w:rsidRPr="00985088">
        <w:rPr>
          <w:rFonts w:ascii="Calibri" w:hAnsi="Calibri"/>
          <w:color w:val="131413"/>
        </w:rPr>
        <w:t xml:space="preserve">with throughput incentives </w:t>
      </w:r>
      <w:r w:rsidR="00054BCF" w:rsidRPr="00985088">
        <w:rPr>
          <w:rFonts w:ascii="Calibri" w:hAnsi="Calibri"/>
          <w:color w:val="131413"/>
        </w:rPr>
        <w:t>that favor resource expansion over energy</w:t>
      </w:r>
      <w:r w:rsidR="00747E45" w:rsidRPr="00985088">
        <w:rPr>
          <w:rFonts w:ascii="Calibri" w:hAnsi="Calibri"/>
          <w:color w:val="131413"/>
        </w:rPr>
        <w:t xml:space="preserve"> </w:t>
      </w:r>
      <w:r w:rsidR="00054BCF" w:rsidRPr="00985088">
        <w:rPr>
          <w:rFonts w:ascii="Calibri" w:hAnsi="Calibri"/>
          <w:color w:val="131413"/>
        </w:rPr>
        <w:t xml:space="preserve">efficiency. </w:t>
      </w:r>
      <w:r w:rsidR="00AD1F6D" w:rsidRPr="00985088">
        <w:rPr>
          <w:rFonts w:ascii="Calibri" w:hAnsi="Calibri"/>
          <w:color w:val="131413"/>
        </w:rPr>
        <w:t>Policymakers</w:t>
      </w:r>
      <w:r w:rsidR="00663C32" w:rsidRPr="00985088">
        <w:rPr>
          <w:rFonts w:ascii="Calibri" w:hAnsi="Calibri"/>
          <w:color w:val="131413"/>
        </w:rPr>
        <w:t xml:space="preserve"> tend to correlate expansion of</w:t>
      </w:r>
      <w:r w:rsidR="00E4534A" w:rsidRPr="00985088">
        <w:rPr>
          <w:rFonts w:ascii="Calibri" w:hAnsi="Calibri"/>
          <w:color w:val="131413"/>
        </w:rPr>
        <w:t xml:space="preserve"> </w:t>
      </w:r>
      <w:r w:rsidR="00663C32" w:rsidRPr="00985088">
        <w:rPr>
          <w:rFonts w:ascii="Calibri" w:hAnsi="Calibri"/>
          <w:color w:val="131413"/>
        </w:rPr>
        <w:t>supply-side resources with economic and employment</w:t>
      </w:r>
      <w:r w:rsidR="00E4534A" w:rsidRPr="00985088">
        <w:rPr>
          <w:rFonts w:ascii="Calibri" w:hAnsi="Calibri"/>
          <w:color w:val="131413"/>
        </w:rPr>
        <w:t xml:space="preserve"> </w:t>
      </w:r>
      <w:r w:rsidR="00663C32" w:rsidRPr="00985088">
        <w:rPr>
          <w:rFonts w:ascii="Calibri" w:hAnsi="Calibri"/>
          <w:color w:val="131413"/>
        </w:rPr>
        <w:t>growth</w:t>
      </w:r>
      <w:r w:rsidR="00AD1F6D" w:rsidRPr="00985088">
        <w:rPr>
          <w:rFonts w:ascii="Calibri" w:hAnsi="Calibri"/>
          <w:color w:val="131413"/>
        </w:rPr>
        <w:t>, and utilities</w:t>
      </w:r>
      <w:r w:rsidR="00813A2F" w:rsidRPr="00985088">
        <w:rPr>
          <w:rFonts w:ascii="Calibri" w:hAnsi="Calibri"/>
          <w:color w:val="131413"/>
        </w:rPr>
        <w:t xml:space="preserve"> focus</w:t>
      </w:r>
      <w:r w:rsidR="00663C32" w:rsidRPr="00985088">
        <w:rPr>
          <w:rFonts w:ascii="Calibri" w:hAnsi="Calibri"/>
          <w:color w:val="131413"/>
        </w:rPr>
        <w:t xml:space="preserve"> on</w:t>
      </w:r>
      <w:r w:rsidR="001C4461" w:rsidRPr="00985088">
        <w:rPr>
          <w:rFonts w:ascii="Calibri" w:hAnsi="Calibri"/>
          <w:color w:val="131413"/>
        </w:rPr>
        <w:t xml:space="preserve"> </w:t>
      </w:r>
      <w:r w:rsidR="00AD1F6D" w:rsidRPr="00985088">
        <w:rPr>
          <w:rFonts w:ascii="Calibri" w:hAnsi="Calibri"/>
          <w:color w:val="131413"/>
        </w:rPr>
        <w:t>expanding</w:t>
      </w:r>
      <w:r w:rsidR="00663C32" w:rsidRPr="00985088">
        <w:rPr>
          <w:rFonts w:ascii="Calibri" w:hAnsi="Calibri"/>
          <w:color w:val="131413"/>
        </w:rPr>
        <w:t xml:space="preserve"> generation and transmission resources</w:t>
      </w:r>
      <w:r w:rsidR="00E4534A" w:rsidRPr="00985088">
        <w:rPr>
          <w:rFonts w:ascii="Calibri" w:hAnsi="Calibri"/>
          <w:color w:val="131413"/>
        </w:rPr>
        <w:t xml:space="preserve"> </w:t>
      </w:r>
      <w:r w:rsidR="00663C32" w:rsidRPr="00985088">
        <w:rPr>
          <w:rFonts w:ascii="Calibri" w:hAnsi="Calibri"/>
          <w:color w:val="131413"/>
        </w:rPr>
        <w:t>so tha</w:t>
      </w:r>
      <w:r w:rsidR="001C4461" w:rsidRPr="00985088">
        <w:rPr>
          <w:rFonts w:ascii="Calibri" w:hAnsi="Calibri"/>
          <w:color w:val="131413"/>
        </w:rPr>
        <w:t xml:space="preserve">t systems are not caught short. </w:t>
      </w:r>
      <w:r w:rsidR="00663C32" w:rsidRPr="00985088">
        <w:rPr>
          <w:rFonts w:ascii="Calibri" w:hAnsi="Calibri"/>
          <w:color w:val="131413"/>
        </w:rPr>
        <w:t>Energy efficiency</w:t>
      </w:r>
      <w:r w:rsidR="00AD1F6D" w:rsidRPr="00985088">
        <w:rPr>
          <w:rFonts w:ascii="Calibri" w:hAnsi="Calibri"/>
          <w:color w:val="131413"/>
        </w:rPr>
        <w:t>, on the other hand,</w:t>
      </w:r>
      <w:r w:rsidR="00E4534A" w:rsidRPr="00985088">
        <w:rPr>
          <w:rFonts w:ascii="Calibri" w:hAnsi="Calibri"/>
          <w:color w:val="131413"/>
        </w:rPr>
        <w:t xml:space="preserve"> </w:t>
      </w:r>
      <w:r w:rsidR="00663C32" w:rsidRPr="00985088">
        <w:rPr>
          <w:rFonts w:ascii="Calibri" w:hAnsi="Calibri"/>
          <w:color w:val="131413"/>
        </w:rPr>
        <w:t xml:space="preserve">is seen as a customer service and </w:t>
      </w:r>
      <w:r w:rsidR="00AD1F6D" w:rsidRPr="00985088">
        <w:rPr>
          <w:rFonts w:ascii="Calibri" w:hAnsi="Calibri"/>
          <w:color w:val="131413"/>
        </w:rPr>
        <w:t xml:space="preserve">in standard U.S. utility accounting practice it is categorized as “operations and maintenance.” </w:t>
      </w:r>
      <w:r w:rsidR="00985088">
        <w:rPr>
          <w:rFonts w:ascii="Calibri" w:hAnsi="Calibri"/>
          <w:color w:val="131413"/>
        </w:rPr>
        <w:t>A</w:t>
      </w:r>
      <w:r w:rsidR="00AD1F6D" w:rsidRPr="00985088">
        <w:rPr>
          <w:rFonts w:ascii="Calibri" w:hAnsi="Calibri"/>
          <w:color w:val="131413"/>
        </w:rPr>
        <w:t>nalysts increasingly</w:t>
      </w:r>
      <w:r w:rsidR="001C4461" w:rsidRPr="00985088">
        <w:rPr>
          <w:rFonts w:ascii="Calibri" w:hAnsi="Calibri"/>
          <w:color w:val="131413"/>
        </w:rPr>
        <w:t xml:space="preserve"> </w:t>
      </w:r>
      <w:r w:rsidR="00663C32" w:rsidRPr="00985088">
        <w:rPr>
          <w:rFonts w:ascii="Calibri" w:hAnsi="Calibri"/>
          <w:color w:val="131413"/>
        </w:rPr>
        <w:t>argue that utilities should use least-cost resource planning</w:t>
      </w:r>
      <w:r w:rsidR="001C4461" w:rsidRPr="00985088">
        <w:rPr>
          <w:rFonts w:ascii="Calibri" w:hAnsi="Calibri"/>
          <w:color w:val="131413"/>
        </w:rPr>
        <w:t xml:space="preserve"> </w:t>
      </w:r>
      <w:r w:rsidR="00663C32" w:rsidRPr="00985088">
        <w:rPr>
          <w:rFonts w:ascii="Calibri" w:hAnsi="Calibri"/>
          <w:color w:val="131413"/>
        </w:rPr>
        <w:t>that considers demand- and supply-side options in</w:t>
      </w:r>
      <w:r w:rsidR="00AD1F6D" w:rsidRPr="00985088">
        <w:rPr>
          <w:rFonts w:ascii="Calibri" w:hAnsi="Calibri"/>
          <w:color w:val="131413"/>
        </w:rPr>
        <w:t xml:space="preserve"> </w:t>
      </w:r>
      <w:r w:rsidR="00663C32" w:rsidRPr="00985088">
        <w:rPr>
          <w:rFonts w:ascii="Calibri" w:hAnsi="Calibri"/>
          <w:color w:val="131413"/>
        </w:rPr>
        <w:t>a single integrated approach</w:t>
      </w:r>
      <w:r w:rsidR="00AD1F6D" w:rsidRPr="00985088">
        <w:rPr>
          <w:rFonts w:ascii="Calibri" w:hAnsi="Calibri"/>
          <w:color w:val="131413"/>
        </w:rPr>
        <w:t xml:space="preserve"> (Brown and Wang, 2015; 2017)</w:t>
      </w:r>
      <w:r w:rsidR="00663C32" w:rsidRPr="00985088">
        <w:rPr>
          <w:rFonts w:ascii="Calibri" w:hAnsi="Calibri"/>
          <w:color w:val="131413"/>
        </w:rPr>
        <w:t xml:space="preserve">. </w:t>
      </w:r>
    </w:p>
    <w:p w14:paraId="0537E5BB" w14:textId="48C7E13C" w:rsidR="00380115" w:rsidRPr="00C40B08" w:rsidRDefault="00EC0CCE" w:rsidP="000656C9">
      <w:pPr>
        <w:spacing w:before="100" w:beforeAutospacing="1" w:after="100" w:afterAutospacing="1" w:line="276" w:lineRule="auto"/>
        <w:rPr>
          <w:rFonts w:ascii="Calibri" w:hAnsi="Calibri"/>
        </w:rPr>
      </w:pPr>
      <w:r w:rsidRPr="00C40B08">
        <w:rPr>
          <w:rFonts w:ascii="Calibri" w:hAnsi="Calibri"/>
        </w:rPr>
        <w:t xml:space="preserve">The </w:t>
      </w:r>
      <w:r w:rsidR="00F340D2" w:rsidRPr="00C40B08">
        <w:rPr>
          <w:rFonts w:ascii="Calibri" w:hAnsi="Calibri"/>
        </w:rPr>
        <w:t>second hypothesi</w:t>
      </w:r>
      <w:r w:rsidRPr="00C40B08">
        <w:rPr>
          <w:rFonts w:ascii="Calibri" w:hAnsi="Calibri"/>
        </w:rPr>
        <w:t>s derive</w:t>
      </w:r>
      <w:r w:rsidR="00F340D2" w:rsidRPr="00C40B08">
        <w:rPr>
          <w:rFonts w:ascii="Calibri" w:hAnsi="Calibri"/>
        </w:rPr>
        <w:t>s</w:t>
      </w:r>
      <w:r w:rsidRPr="00C40B08">
        <w:rPr>
          <w:rFonts w:ascii="Calibri" w:hAnsi="Calibri"/>
        </w:rPr>
        <w:t xml:space="preserve"> from </w:t>
      </w:r>
      <w:r w:rsidR="00F340D2" w:rsidRPr="00C40B08">
        <w:rPr>
          <w:rFonts w:ascii="Calibri" w:hAnsi="Calibri"/>
        </w:rPr>
        <w:t>historical experience documenting</w:t>
      </w:r>
      <w:r w:rsidRPr="00C40B08">
        <w:rPr>
          <w:rFonts w:ascii="Calibri" w:hAnsi="Calibri"/>
        </w:rPr>
        <w:t xml:space="preserve"> how energy-efficiency policies </w:t>
      </w:r>
      <w:r w:rsidR="00F340D2" w:rsidRPr="00C40B08">
        <w:rPr>
          <w:rFonts w:ascii="Calibri" w:hAnsi="Calibri"/>
        </w:rPr>
        <w:t>and programs</w:t>
      </w:r>
      <w:r w:rsidRPr="00C40B08">
        <w:rPr>
          <w:rFonts w:ascii="Calibri" w:hAnsi="Calibri"/>
        </w:rPr>
        <w:t xml:space="preserve"> influence the nation’s electricity fuel mix</w:t>
      </w:r>
      <w:r w:rsidR="00E10728" w:rsidRPr="00C40B08">
        <w:rPr>
          <w:rFonts w:ascii="Calibri" w:hAnsi="Calibri"/>
        </w:rPr>
        <w:t xml:space="preserve"> by curtailing the construction of new generating units that would otherwise be required to meet a </w:t>
      </w:r>
      <w:r w:rsidR="005123E5" w:rsidRPr="00C40B08">
        <w:rPr>
          <w:rFonts w:ascii="Calibri" w:hAnsi="Calibri"/>
        </w:rPr>
        <w:t xml:space="preserve">more </w:t>
      </w:r>
      <w:r w:rsidR="00E10728" w:rsidRPr="00C40B08">
        <w:rPr>
          <w:rFonts w:ascii="Calibri" w:hAnsi="Calibri"/>
        </w:rPr>
        <w:t xml:space="preserve">rapidly growing demand. Since natural gas combined </w:t>
      </w:r>
      <w:r w:rsidR="00661EEB" w:rsidRPr="00C40B08">
        <w:rPr>
          <w:rFonts w:ascii="Calibri" w:hAnsi="Calibri"/>
        </w:rPr>
        <w:t>cycle</w:t>
      </w:r>
      <w:r w:rsidR="0019232F" w:rsidRPr="00C40B08">
        <w:rPr>
          <w:rFonts w:ascii="Calibri" w:hAnsi="Calibri"/>
        </w:rPr>
        <w:t xml:space="preserve"> (NGCC)</w:t>
      </w:r>
      <w:r w:rsidR="00661EEB" w:rsidRPr="00C40B08">
        <w:rPr>
          <w:rFonts w:ascii="Calibri" w:hAnsi="Calibri"/>
        </w:rPr>
        <w:t xml:space="preserve"> plants are the least-cost source of new </w:t>
      </w:r>
      <w:r w:rsidR="00661EEB" w:rsidRPr="00C40B08">
        <w:rPr>
          <w:rFonts w:ascii="Calibri" w:hAnsi="Calibri"/>
        </w:rPr>
        <w:lastRenderedPageBreak/>
        <w:t>generation (National Academies, 2016)</w:t>
      </w:r>
      <w:r w:rsidR="00F340D2" w:rsidRPr="00C40B08">
        <w:rPr>
          <w:rFonts w:ascii="Calibri" w:hAnsi="Calibri"/>
        </w:rPr>
        <w:t>, h</w:t>
      </w:r>
      <w:r w:rsidR="00812769" w:rsidRPr="00C40B08">
        <w:rPr>
          <w:rFonts w:ascii="Calibri" w:hAnsi="Calibri"/>
        </w:rPr>
        <w:t>ypothesis 2 postulates that strong energy-efficiency policies would reduce</w:t>
      </w:r>
      <w:r w:rsidR="00E15909" w:rsidRPr="00C40B08">
        <w:rPr>
          <w:rFonts w:ascii="Calibri" w:hAnsi="Calibri"/>
        </w:rPr>
        <w:t xml:space="preserve"> </w:t>
      </w:r>
      <w:r w:rsidR="00661EEB" w:rsidRPr="00C40B08">
        <w:rPr>
          <w:rFonts w:ascii="Calibri" w:hAnsi="Calibri"/>
        </w:rPr>
        <w:t>the magnitude of</w:t>
      </w:r>
      <w:r w:rsidR="00812769" w:rsidRPr="00C40B08">
        <w:rPr>
          <w:rFonts w:ascii="Calibri" w:hAnsi="Calibri"/>
        </w:rPr>
        <w:t xml:space="preserve"> </w:t>
      </w:r>
      <w:r w:rsidR="00E15909" w:rsidRPr="00C40B08">
        <w:rPr>
          <w:rFonts w:ascii="Calibri" w:hAnsi="Calibri"/>
        </w:rPr>
        <w:t xml:space="preserve">natural gas </w:t>
      </w:r>
      <w:r w:rsidR="00661EEB" w:rsidRPr="00C40B08">
        <w:rPr>
          <w:rFonts w:ascii="Calibri" w:hAnsi="Calibri"/>
        </w:rPr>
        <w:t xml:space="preserve">plant </w:t>
      </w:r>
      <w:r w:rsidR="00E40520" w:rsidRPr="00C40B08">
        <w:rPr>
          <w:rFonts w:ascii="Calibri" w:hAnsi="Calibri"/>
        </w:rPr>
        <w:t>investments and capacity expansions</w:t>
      </w:r>
      <w:r w:rsidR="00812769" w:rsidRPr="00C40B08">
        <w:rPr>
          <w:rFonts w:ascii="Calibri" w:hAnsi="Calibri"/>
        </w:rPr>
        <w:t>.</w:t>
      </w:r>
      <w:r w:rsidR="00EF4690" w:rsidRPr="00C40B08">
        <w:rPr>
          <w:rFonts w:ascii="Calibri" w:hAnsi="Calibri"/>
        </w:rPr>
        <w:t xml:space="preserve"> </w:t>
      </w:r>
      <w:r w:rsidR="00F436D3" w:rsidRPr="00C40B08">
        <w:rPr>
          <w:rFonts w:ascii="Calibri" w:hAnsi="Calibri"/>
        </w:rPr>
        <w:t xml:space="preserve">This hypothesis is critical </w:t>
      </w:r>
      <w:r w:rsidR="00813A2F">
        <w:rPr>
          <w:rFonts w:ascii="Calibri" w:hAnsi="Calibri"/>
        </w:rPr>
        <w:t>for several reasons.</w:t>
      </w:r>
      <w:r w:rsidR="00455109" w:rsidRPr="00C40B08">
        <w:rPr>
          <w:rFonts w:ascii="Calibri" w:hAnsi="Calibri"/>
        </w:rPr>
        <w:t xml:space="preserve"> First, the benefits of natural gas over coal could be mitigated by its potential to delay the adoption of near-zero carbon technologies such as renewables (</w:t>
      </w:r>
      <w:proofErr w:type="spellStart"/>
      <w:r w:rsidR="00455109" w:rsidRPr="00C40B08">
        <w:rPr>
          <w:rFonts w:ascii="Calibri" w:hAnsi="Calibri"/>
        </w:rPr>
        <w:t>Hausfather</w:t>
      </w:r>
      <w:proofErr w:type="spellEnd"/>
      <w:r w:rsidR="00455109" w:rsidRPr="00C40B08">
        <w:rPr>
          <w:rFonts w:ascii="Calibri" w:hAnsi="Calibri"/>
        </w:rPr>
        <w:t>, 2015).</w:t>
      </w:r>
      <w:r w:rsidR="00F436D3" w:rsidRPr="00C40B08">
        <w:rPr>
          <w:rFonts w:ascii="Calibri" w:hAnsi="Calibri"/>
        </w:rPr>
        <w:t xml:space="preserve"> </w:t>
      </w:r>
      <w:r w:rsidR="00455109" w:rsidRPr="00C40B08">
        <w:rPr>
          <w:rFonts w:ascii="Calibri" w:hAnsi="Calibri"/>
        </w:rPr>
        <w:t xml:space="preserve">Second, </w:t>
      </w:r>
      <w:r w:rsidR="00F436D3" w:rsidRPr="00C40B08">
        <w:rPr>
          <w:rFonts w:ascii="Calibri" w:hAnsi="Calibri"/>
        </w:rPr>
        <w:t>evidence suggests that without carbon capture and storage, natural gas power plants could thwart the achievement of deep CO</w:t>
      </w:r>
      <w:r w:rsidR="00F436D3" w:rsidRPr="00C40B08">
        <w:rPr>
          <w:rFonts w:ascii="Calibri" w:hAnsi="Calibri"/>
          <w:vertAlign w:val="subscript"/>
        </w:rPr>
        <w:t>2</w:t>
      </w:r>
      <w:r w:rsidR="00F436D3" w:rsidRPr="00C40B08">
        <w:rPr>
          <w:rFonts w:ascii="Calibri" w:hAnsi="Calibri"/>
        </w:rPr>
        <w:t xml:space="preserve"> emission reductions. </w:t>
      </w:r>
      <w:r w:rsidR="00455109" w:rsidRPr="00C40B08">
        <w:rPr>
          <w:rFonts w:ascii="Calibri" w:hAnsi="Calibri"/>
        </w:rPr>
        <w:t xml:space="preserve">With system-wide U.S. fugitive methane emissions of 2-4% of </w:t>
      </w:r>
      <w:r w:rsidR="00E40520" w:rsidRPr="00C40B08">
        <w:rPr>
          <w:rFonts w:ascii="Calibri" w:hAnsi="Calibri"/>
        </w:rPr>
        <w:t>natural gas production</w:t>
      </w:r>
      <w:r w:rsidR="00455109" w:rsidRPr="00C40B08">
        <w:rPr>
          <w:rFonts w:ascii="Calibri" w:hAnsi="Calibri"/>
        </w:rPr>
        <w:t xml:space="preserve"> or more (Brandt, et al., 2014)</w:t>
      </w:r>
      <w:r w:rsidR="00F436D3" w:rsidRPr="00C40B08">
        <w:rPr>
          <w:rFonts w:ascii="Calibri" w:hAnsi="Calibri"/>
        </w:rPr>
        <w:t>, gas plants could produce greater near-term warming potential than similarly sized coal plants (Zhang, et al., 2014).</w:t>
      </w:r>
      <w:r w:rsidR="00FD63B1" w:rsidRPr="00C40B08">
        <w:rPr>
          <w:rFonts w:ascii="Calibri" w:hAnsi="Calibri"/>
        </w:rPr>
        <w:t xml:space="preserve"> </w:t>
      </w:r>
    </w:p>
    <w:p w14:paraId="214B8419" w14:textId="7C266FEC" w:rsidR="00EF4690" w:rsidRPr="00C40B08" w:rsidRDefault="00EC5C96" w:rsidP="000656C9">
      <w:pPr>
        <w:spacing w:before="100" w:beforeAutospacing="1" w:after="100" w:afterAutospacing="1" w:line="276" w:lineRule="auto"/>
        <w:rPr>
          <w:rFonts w:ascii="Calibri" w:hAnsi="Calibri"/>
        </w:rPr>
      </w:pPr>
      <w:r w:rsidRPr="00C40B08">
        <w:rPr>
          <w:rFonts w:ascii="Calibri" w:hAnsi="Calibri"/>
        </w:rPr>
        <w:t>Hypothesis 3</w:t>
      </w:r>
      <w:r w:rsidR="00326E5A" w:rsidRPr="00C40B08">
        <w:rPr>
          <w:rFonts w:ascii="Calibri" w:hAnsi="Calibri"/>
        </w:rPr>
        <w:t xml:space="preserve"> addresses carbon leakage – the shift of </w:t>
      </w:r>
      <w:r w:rsidR="00EF0773" w:rsidRPr="00C40B08">
        <w:rPr>
          <w:rFonts w:ascii="Calibri" w:hAnsi="Calibri"/>
        </w:rPr>
        <w:t>emissions within a state from covered</w:t>
      </w:r>
      <w:r w:rsidR="007647FA" w:rsidRPr="00C40B08">
        <w:rPr>
          <w:rFonts w:ascii="Calibri" w:hAnsi="Calibri"/>
        </w:rPr>
        <w:t xml:space="preserve"> to uncovered</w:t>
      </w:r>
      <w:r w:rsidR="00EF0773" w:rsidRPr="00C40B08">
        <w:rPr>
          <w:rFonts w:ascii="Calibri" w:hAnsi="Calibri"/>
        </w:rPr>
        <w:t xml:space="preserve"> fossil generators.</w:t>
      </w:r>
      <w:r w:rsidR="00326E5A" w:rsidRPr="00C40B08">
        <w:rPr>
          <w:rFonts w:ascii="Calibri" w:hAnsi="Calibri"/>
        </w:rPr>
        <w:t xml:space="preserve"> Leakage</w:t>
      </w:r>
      <w:r w:rsidR="00EF0773" w:rsidRPr="00C40B08">
        <w:rPr>
          <w:rFonts w:ascii="Calibri" w:hAnsi="Calibri"/>
        </w:rPr>
        <w:t xml:space="preserve"> is motivated </w:t>
      </w:r>
      <w:r w:rsidR="00FA22C0">
        <w:rPr>
          <w:rFonts w:ascii="Calibri" w:hAnsi="Calibri"/>
        </w:rPr>
        <w:t>when</w:t>
      </w:r>
      <w:r w:rsidR="00971A33">
        <w:rPr>
          <w:rFonts w:ascii="Calibri" w:hAnsi="Calibri"/>
        </w:rPr>
        <w:t xml:space="preserve"> </w:t>
      </w:r>
      <w:r w:rsidR="00BD414A" w:rsidRPr="00C40B08">
        <w:rPr>
          <w:rFonts w:ascii="Calibri" w:hAnsi="Calibri"/>
        </w:rPr>
        <w:t>compliance designs</w:t>
      </w:r>
      <w:r w:rsidR="00971A33">
        <w:rPr>
          <w:rFonts w:ascii="Calibri" w:hAnsi="Calibri"/>
        </w:rPr>
        <w:t xml:space="preserve"> cause </w:t>
      </w:r>
      <w:r w:rsidR="00EF0773" w:rsidRPr="00C40B08">
        <w:rPr>
          <w:rFonts w:ascii="Calibri" w:hAnsi="Calibri"/>
        </w:rPr>
        <w:t xml:space="preserve">existing steam units and </w:t>
      </w:r>
      <w:r w:rsidR="0019232F" w:rsidRPr="00C40B08">
        <w:rPr>
          <w:rFonts w:ascii="Calibri" w:hAnsi="Calibri"/>
        </w:rPr>
        <w:t>NGCC</w:t>
      </w:r>
      <w:r w:rsidR="00EF0773" w:rsidRPr="00C40B08">
        <w:rPr>
          <w:rFonts w:ascii="Calibri" w:hAnsi="Calibri"/>
        </w:rPr>
        <w:t xml:space="preserve"> </w:t>
      </w:r>
      <w:r w:rsidR="00BD414A" w:rsidRPr="00C40B08">
        <w:rPr>
          <w:rFonts w:ascii="Calibri" w:hAnsi="Calibri"/>
        </w:rPr>
        <w:t xml:space="preserve">plants </w:t>
      </w:r>
      <w:r w:rsidR="00971A33">
        <w:rPr>
          <w:rFonts w:ascii="Calibri" w:hAnsi="Calibri"/>
        </w:rPr>
        <w:t xml:space="preserve">to </w:t>
      </w:r>
      <w:r w:rsidR="00BD414A" w:rsidRPr="00C40B08">
        <w:rPr>
          <w:rFonts w:ascii="Calibri" w:hAnsi="Calibri"/>
        </w:rPr>
        <w:t xml:space="preserve">face compliance </w:t>
      </w:r>
      <w:r w:rsidR="00EF0773" w:rsidRPr="00C40B08">
        <w:rPr>
          <w:rFonts w:ascii="Calibri" w:hAnsi="Calibri"/>
        </w:rPr>
        <w:t>cost</w:t>
      </w:r>
      <w:r w:rsidR="00BD414A" w:rsidRPr="00C40B08">
        <w:rPr>
          <w:rFonts w:ascii="Calibri" w:hAnsi="Calibri"/>
        </w:rPr>
        <w:t xml:space="preserve">s that </w:t>
      </w:r>
      <w:r w:rsidR="00EF0773" w:rsidRPr="00C40B08">
        <w:rPr>
          <w:rFonts w:ascii="Calibri" w:hAnsi="Calibri"/>
        </w:rPr>
        <w:t>new NGCC</w:t>
      </w:r>
      <w:r w:rsidR="0019232F" w:rsidRPr="00C40B08">
        <w:rPr>
          <w:rFonts w:ascii="Calibri" w:hAnsi="Calibri"/>
        </w:rPr>
        <w:t xml:space="preserve"> plant</w:t>
      </w:r>
      <w:r w:rsidR="00EF0773" w:rsidRPr="00C40B08">
        <w:rPr>
          <w:rFonts w:ascii="Calibri" w:hAnsi="Calibri"/>
        </w:rPr>
        <w:t>s do not</w:t>
      </w:r>
      <w:r w:rsidR="00971A33">
        <w:rPr>
          <w:rFonts w:ascii="Calibri" w:hAnsi="Calibri"/>
        </w:rPr>
        <w:t xml:space="preserve">, as is the case </w:t>
      </w:r>
      <w:r w:rsidR="009F770C">
        <w:rPr>
          <w:rFonts w:ascii="Calibri" w:hAnsi="Calibri"/>
        </w:rPr>
        <w:t>when mitigation focuses</w:t>
      </w:r>
      <w:r w:rsidR="00971A33">
        <w:rPr>
          <w:rFonts w:ascii="Calibri" w:hAnsi="Calibri"/>
        </w:rPr>
        <w:t xml:space="preserve"> on existing units</w:t>
      </w:r>
      <w:r w:rsidR="009F770C">
        <w:rPr>
          <w:rFonts w:ascii="Calibri" w:hAnsi="Calibri"/>
        </w:rPr>
        <w:t>. R</w:t>
      </w:r>
      <w:r w:rsidRPr="00C40B08">
        <w:rPr>
          <w:rFonts w:ascii="Calibri" w:hAnsi="Calibri"/>
        </w:rPr>
        <w:t xml:space="preserve">ather than curbing emissions by exploiting low-carbon resources such as renewables, nuclear and energy efficiency, </w:t>
      </w:r>
      <w:r w:rsidR="00971A33">
        <w:rPr>
          <w:rFonts w:ascii="Calibri" w:hAnsi="Calibri"/>
        </w:rPr>
        <w:t>electricity generation may be</w:t>
      </w:r>
      <w:r w:rsidR="00EF0773" w:rsidRPr="00C40B08">
        <w:rPr>
          <w:rFonts w:ascii="Calibri" w:hAnsi="Calibri"/>
        </w:rPr>
        <w:t xml:space="preserve"> dispatched less from exis</w:t>
      </w:r>
      <w:r w:rsidR="007647FA" w:rsidRPr="00C40B08">
        <w:rPr>
          <w:rFonts w:ascii="Calibri" w:hAnsi="Calibri"/>
        </w:rPr>
        <w:t xml:space="preserve">ting </w:t>
      </w:r>
      <w:r w:rsidR="0019232F" w:rsidRPr="00C40B08">
        <w:rPr>
          <w:rFonts w:ascii="Calibri" w:hAnsi="Calibri"/>
        </w:rPr>
        <w:t>fossil</w:t>
      </w:r>
      <w:r w:rsidR="007647FA" w:rsidRPr="00C40B08">
        <w:rPr>
          <w:rFonts w:ascii="Calibri" w:hAnsi="Calibri"/>
        </w:rPr>
        <w:t xml:space="preserve"> plants and more from</w:t>
      </w:r>
      <w:r w:rsidR="00EF0773" w:rsidRPr="00C40B08">
        <w:rPr>
          <w:rFonts w:ascii="Calibri" w:hAnsi="Calibri"/>
        </w:rPr>
        <w:t xml:space="preserve"> new natural gas units</w:t>
      </w:r>
      <w:r w:rsidR="009F770C">
        <w:rPr>
          <w:rFonts w:ascii="Calibri" w:hAnsi="Calibri"/>
        </w:rPr>
        <w:t xml:space="preserve"> </w:t>
      </w:r>
      <w:r w:rsidR="009F770C" w:rsidRPr="00C40B08">
        <w:rPr>
          <w:rFonts w:ascii="Calibri" w:hAnsi="Calibri"/>
        </w:rPr>
        <w:t>(</w:t>
      </w:r>
      <w:proofErr w:type="spellStart"/>
      <w:r w:rsidR="009F770C" w:rsidRPr="00C40B08">
        <w:rPr>
          <w:rFonts w:ascii="Calibri" w:hAnsi="Calibri"/>
        </w:rPr>
        <w:t>Litz</w:t>
      </w:r>
      <w:proofErr w:type="spellEnd"/>
      <w:r w:rsidR="009F770C" w:rsidRPr="00C40B08">
        <w:rPr>
          <w:rFonts w:ascii="Calibri" w:hAnsi="Calibri"/>
        </w:rPr>
        <w:t xml:space="preserve"> and Murray, 2016)</w:t>
      </w:r>
      <w:r w:rsidR="00EF0773" w:rsidRPr="00C40B08">
        <w:rPr>
          <w:rFonts w:ascii="Calibri" w:hAnsi="Calibri"/>
        </w:rPr>
        <w:t>.</w:t>
      </w:r>
      <w:r w:rsidR="00BD414A" w:rsidRPr="00C40B08">
        <w:rPr>
          <w:rFonts w:ascii="Calibri" w:hAnsi="Calibri"/>
        </w:rPr>
        <w:t xml:space="preserve"> </w:t>
      </w:r>
      <w:r w:rsidR="009F770C">
        <w:rPr>
          <w:rFonts w:ascii="Calibri" w:hAnsi="Calibri"/>
        </w:rPr>
        <w:t>Since</w:t>
      </w:r>
      <w:r w:rsidR="00BD414A" w:rsidRPr="00C40B08">
        <w:rPr>
          <w:rFonts w:ascii="Calibri" w:hAnsi="Calibri"/>
        </w:rPr>
        <w:t xml:space="preserve"> strong energy-efficiency policies curb demand growth and the need for new NGCC plants</w:t>
      </w:r>
      <w:r w:rsidR="00F340D2" w:rsidRPr="00C40B08">
        <w:rPr>
          <w:rFonts w:ascii="Calibri" w:hAnsi="Calibri"/>
        </w:rPr>
        <w:t>, h</w:t>
      </w:r>
      <w:r w:rsidR="00812769" w:rsidRPr="00C40B08">
        <w:rPr>
          <w:rFonts w:ascii="Calibri" w:hAnsi="Calibri"/>
        </w:rPr>
        <w:t xml:space="preserve">ypothesis 3 postulates that </w:t>
      </w:r>
      <w:r w:rsidR="009F770C">
        <w:rPr>
          <w:rFonts w:ascii="Calibri" w:hAnsi="Calibri"/>
        </w:rPr>
        <w:t>they</w:t>
      </w:r>
      <w:r w:rsidR="00812769" w:rsidRPr="00C40B08">
        <w:rPr>
          <w:rFonts w:ascii="Calibri" w:hAnsi="Calibri"/>
        </w:rPr>
        <w:t xml:space="preserve"> would </w:t>
      </w:r>
      <w:r w:rsidR="00EF4690" w:rsidRPr="00C40B08">
        <w:rPr>
          <w:rFonts w:ascii="Calibri" w:hAnsi="Calibri"/>
        </w:rPr>
        <w:t>mitigate carbon leakage</w:t>
      </w:r>
      <w:r w:rsidR="00A7760E" w:rsidRPr="00C40B08">
        <w:rPr>
          <w:rFonts w:ascii="Calibri" w:hAnsi="Calibri"/>
        </w:rPr>
        <w:t>.</w:t>
      </w:r>
    </w:p>
    <w:p w14:paraId="2466AC81" w14:textId="6CBE813D" w:rsidR="00812769" w:rsidRPr="00C40B08" w:rsidRDefault="00BB648F" w:rsidP="000656C9">
      <w:pPr>
        <w:spacing w:before="100" w:beforeAutospacing="1" w:after="100" w:afterAutospacing="1" w:line="276" w:lineRule="auto"/>
        <w:rPr>
          <w:rFonts w:ascii="Calibri" w:hAnsi="Calibri"/>
        </w:rPr>
      </w:pPr>
      <w:r w:rsidRPr="00C40B08">
        <w:rPr>
          <w:rFonts w:ascii="Calibri" w:hAnsi="Calibri"/>
        </w:rPr>
        <w:t>Hypothesis 4 postulates that strong energy-efficiency policies would reduce the emission of local air pollutants such as SO</w:t>
      </w:r>
      <w:r w:rsidRPr="00C40B08">
        <w:rPr>
          <w:rFonts w:ascii="Calibri" w:hAnsi="Calibri"/>
          <w:vertAlign w:val="subscript"/>
        </w:rPr>
        <w:t>2</w:t>
      </w:r>
      <w:r w:rsidRPr="00C40B08">
        <w:rPr>
          <w:rFonts w:ascii="Calibri" w:hAnsi="Calibri"/>
        </w:rPr>
        <w:t xml:space="preserve">, NOx, and mercury. </w:t>
      </w:r>
      <w:r w:rsidR="005E2CB2" w:rsidRPr="00C40B08">
        <w:rPr>
          <w:rFonts w:ascii="Calibri" w:hAnsi="Calibri"/>
        </w:rPr>
        <w:t xml:space="preserve"> Utilizing energy efficiency in p</w:t>
      </w:r>
      <w:r w:rsidRPr="00C40B08">
        <w:rPr>
          <w:rFonts w:ascii="Calibri" w:hAnsi="Calibri"/>
        </w:rPr>
        <w:t xml:space="preserve">athways </w:t>
      </w:r>
      <w:r w:rsidR="00EC5C96" w:rsidRPr="00C40B08">
        <w:rPr>
          <w:rFonts w:ascii="Calibri" w:hAnsi="Calibri"/>
        </w:rPr>
        <w:t>of compliance with CO</w:t>
      </w:r>
      <w:r w:rsidR="00EC5C96" w:rsidRPr="00C40B08">
        <w:rPr>
          <w:rFonts w:ascii="Calibri" w:hAnsi="Calibri"/>
          <w:vertAlign w:val="subscript"/>
        </w:rPr>
        <w:t>2</w:t>
      </w:r>
      <w:r w:rsidR="00EC5C96" w:rsidRPr="00C40B08">
        <w:rPr>
          <w:rFonts w:ascii="Calibri" w:hAnsi="Calibri"/>
        </w:rPr>
        <w:t xml:space="preserve"> caps</w:t>
      </w:r>
      <w:r w:rsidR="007647FA" w:rsidRPr="00C40B08">
        <w:rPr>
          <w:rFonts w:ascii="Calibri" w:hAnsi="Calibri"/>
        </w:rPr>
        <w:t xml:space="preserve"> </w:t>
      </w:r>
      <w:r w:rsidR="005E2CB2" w:rsidRPr="00C40B08">
        <w:rPr>
          <w:rFonts w:ascii="Calibri" w:hAnsi="Calibri"/>
        </w:rPr>
        <w:t>is</w:t>
      </w:r>
      <w:r w:rsidR="007647FA" w:rsidRPr="00C40B08">
        <w:rPr>
          <w:rFonts w:ascii="Calibri" w:hAnsi="Calibri"/>
        </w:rPr>
        <w:t xml:space="preserve"> expected to deliver greater pollution abatement because energy efficiency is one of the cleanest forms of meeting energy service requirements</w:t>
      </w:r>
      <w:r w:rsidR="005E2CB2" w:rsidRPr="00C40B08">
        <w:rPr>
          <w:rFonts w:ascii="Calibri" w:hAnsi="Calibri"/>
        </w:rPr>
        <w:t>, matched only by nuclear power and a subset of renewables</w:t>
      </w:r>
      <w:r w:rsidR="007647FA" w:rsidRPr="00C40B08">
        <w:rPr>
          <w:rFonts w:ascii="Calibri" w:hAnsi="Calibri"/>
        </w:rPr>
        <w:t xml:space="preserve">. </w:t>
      </w:r>
    </w:p>
    <w:p w14:paraId="204703A9" w14:textId="77777777" w:rsidR="003F04FC" w:rsidRDefault="003F04FC" w:rsidP="000656C9">
      <w:pPr>
        <w:spacing w:after="160" w:line="276" w:lineRule="auto"/>
        <w:rPr>
          <w:rFonts w:ascii="Calibri" w:hAnsi="Calibri"/>
          <w:b/>
        </w:rPr>
      </w:pPr>
      <w:r>
        <w:rPr>
          <w:rFonts w:ascii="Calibri" w:hAnsi="Calibri"/>
          <w:b/>
        </w:rPr>
        <w:br w:type="page"/>
      </w:r>
    </w:p>
    <w:p w14:paraId="032786F2" w14:textId="410CB9F7" w:rsidR="007D349B" w:rsidRPr="00C40B08" w:rsidRDefault="00951E73" w:rsidP="000656C9">
      <w:pPr>
        <w:pStyle w:val="ListParagraph"/>
        <w:numPr>
          <w:ilvl w:val="0"/>
          <w:numId w:val="1"/>
        </w:numPr>
        <w:spacing w:line="276" w:lineRule="auto"/>
        <w:outlineLvl w:val="0"/>
        <w:rPr>
          <w:rFonts w:ascii="Calibri" w:hAnsi="Calibri" w:cs="Times New Roman"/>
          <w:b/>
          <w:sz w:val="24"/>
          <w:szCs w:val="24"/>
        </w:rPr>
      </w:pPr>
      <w:r w:rsidRPr="00C40B08">
        <w:rPr>
          <w:rFonts w:ascii="Calibri" w:hAnsi="Calibri" w:cs="Times New Roman"/>
          <w:b/>
          <w:sz w:val="24"/>
          <w:szCs w:val="24"/>
        </w:rPr>
        <w:lastRenderedPageBreak/>
        <w:t>Methodology</w:t>
      </w:r>
    </w:p>
    <w:p w14:paraId="65744597" w14:textId="3E1D7883" w:rsidR="00C328D2" w:rsidRPr="00C40B08" w:rsidRDefault="001302ED" w:rsidP="000656C9">
      <w:pPr>
        <w:spacing w:before="100" w:beforeAutospacing="1" w:after="100" w:afterAutospacing="1" w:line="276" w:lineRule="auto"/>
        <w:rPr>
          <w:rFonts w:ascii="Calibri" w:hAnsi="Calibri"/>
        </w:rPr>
      </w:pPr>
      <w:r w:rsidRPr="00C40B08">
        <w:rPr>
          <w:rFonts w:ascii="Calibri" w:hAnsi="Calibri"/>
        </w:rPr>
        <w:t xml:space="preserve">To </w:t>
      </w:r>
      <w:r w:rsidR="003F6BB5" w:rsidRPr="00C40B08">
        <w:rPr>
          <w:rFonts w:ascii="Calibri" w:hAnsi="Calibri"/>
        </w:rPr>
        <w:t xml:space="preserve">fill the gap in the literature </w:t>
      </w:r>
      <w:r w:rsidR="009F770C">
        <w:rPr>
          <w:rFonts w:ascii="Calibri" w:hAnsi="Calibri"/>
        </w:rPr>
        <w:t>described in Section 2</w:t>
      </w:r>
      <w:r w:rsidRPr="00C40B08">
        <w:rPr>
          <w:rFonts w:ascii="Calibri" w:hAnsi="Calibri"/>
        </w:rPr>
        <w:t xml:space="preserve">, we </w:t>
      </w:r>
      <w:r w:rsidRPr="00C40B08">
        <w:rPr>
          <w:rFonts w:ascii="Calibri" w:eastAsia="Times New Roman" w:hAnsi="Calibri"/>
        </w:rPr>
        <w:t xml:space="preserve">evaluate </w:t>
      </w:r>
      <w:r w:rsidR="005E2CB2" w:rsidRPr="00C40B08">
        <w:rPr>
          <w:rFonts w:ascii="Calibri" w:eastAsia="Times New Roman" w:hAnsi="Calibri"/>
        </w:rPr>
        <w:t>mitigation pathways</w:t>
      </w:r>
      <w:r w:rsidRPr="00C40B08">
        <w:rPr>
          <w:rFonts w:ascii="Calibri" w:eastAsia="Times New Roman" w:hAnsi="Calibri"/>
        </w:rPr>
        <w:t xml:space="preserve"> using </w:t>
      </w:r>
      <w:r w:rsidR="009F770C">
        <w:rPr>
          <w:rFonts w:ascii="Calibri" w:eastAsia="Times New Roman" w:hAnsi="Calibri"/>
        </w:rPr>
        <w:t>the</w:t>
      </w:r>
      <w:r w:rsidRPr="00C40B08">
        <w:rPr>
          <w:rFonts w:ascii="Calibri" w:eastAsia="Times New Roman" w:hAnsi="Calibri"/>
        </w:rPr>
        <w:t xml:space="preserve"> Georgia Tech </w:t>
      </w:r>
      <w:r w:rsidR="009F770C">
        <w:rPr>
          <w:rFonts w:ascii="Calibri" w:eastAsia="Times New Roman" w:hAnsi="Calibri"/>
        </w:rPr>
        <w:t>version of NEMS.</w:t>
      </w:r>
      <w:r w:rsidRPr="00C40B08">
        <w:rPr>
          <w:rFonts w:ascii="Calibri" w:eastAsia="Times New Roman" w:hAnsi="Calibri"/>
        </w:rPr>
        <w:t xml:space="preserve"> GT-NEMS has a highly articulated </w:t>
      </w:r>
      <w:r w:rsidR="001A64F0">
        <w:rPr>
          <w:rFonts w:ascii="Calibri" w:eastAsia="Times New Roman" w:hAnsi="Calibri"/>
        </w:rPr>
        <w:t>representation</w:t>
      </w:r>
      <w:r w:rsidRPr="00C40B08">
        <w:rPr>
          <w:rFonts w:ascii="Calibri" w:eastAsia="Times New Roman" w:hAnsi="Calibri"/>
        </w:rPr>
        <w:t xml:space="preserve"> of end-use technologies embedded in a least-cost optimization algorithm that allows demand- and supply-side energy reso</w:t>
      </w:r>
      <w:r w:rsidR="005E2CB2" w:rsidRPr="00C40B08">
        <w:rPr>
          <w:rFonts w:ascii="Calibri" w:eastAsia="Times New Roman" w:hAnsi="Calibri"/>
        </w:rPr>
        <w:t>urces to compete head-to-head: c</w:t>
      </w:r>
      <w:r w:rsidRPr="00C40B08">
        <w:rPr>
          <w:rFonts w:ascii="Calibri" w:eastAsia="Times New Roman" w:hAnsi="Calibri"/>
        </w:rPr>
        <w:t xml:space="preserve">ontrary to prior modeling approaches, GT-NEMS endogenously models. </w:t>
      </w:r>
      <w:r w:rsidR="003F6BB5" w:rsidRPr="00C40B08">
        <w:rPr>
          <w:rFonts w:ascii="Calibri" w:eastAsia="Times New Roman" w:hAnsi="Calibri"/>
        </w:rPr>
        <w:t>GT-NEMS therefore represents realistic interactions between carbon regulat</w:t>
      </w:r>
      <w:r w:rsidR="005E2CB2" w:rsidRPr="00C40B08">
        <w:rPr>
          <w:rFonts w:ascii="Calibri" w:eastAsia="Times New Roman" w:hAnsi="Calibri"/>
        </w:rPr>
        <w:t>ions and high-efficiency demand-</w:t>
      </w:r>
      <w:r w:rsidR="003F6BB5" w:rsidRPr="00C40B08">
        <w:rPr>
          <w:rFonts w:ascii="Calibri" w:eastAsia="Times New Roman" w:hAnsi="Calibri"/>
        </w:rPr>
        <w:t xml:space="preserve">side technologies that prior modeling approaches do not and cannot represent. GT-NEMS serves as an appropriate tool for testing the </w:t>
      </w:r>
      <w:r w:rsidR="001A64F0">
        <w:rPr>
          <w:rFonts w:ascii="Calibri" w:eastAsia="Times New Roman" w:hAnsi="Calibri"/>
        </w:rPr>
        <w:t xml:space="preserve">research hypotheses and </w:t>
      </w:r>
      <w:r w:rsidR="00307D7D" w:rsidRPr="00C40B08">
        <w:rPr>
          <w:rFonts w:ascii="Calibri" w:eastAsia="Times New Roman" w:hAnsi="Calibri"/>
        </w:rPr>
        <w:t>providing unique contribution</w:t>
      </w:r>
      <w:r w:rsidR="001A64F0">
        <w:rPr>
          <w:rFonts w:ascii="Calibri" w:eastAsia="Times New Roman" w:hAnsi="Calibri"/>
        </w:rPr>
        <w:t>s</w:t>
      </w:r>
      <w:r w:rsidR="00307D7D" w:rsidRPr="00C40B08">
        <w:rPr>
          <w:rFonts w:ascii="Calibri" w:eastAsia="Times New Roman" w:hAnsi="Calibri"/>
        </w:rPr>
        <w:t xml:space="preserve"> to </w:t>
      </w:r>
      <w:r w:rsidR="003F6BB5" w:rsidRPr="00C40B08">
        <w:rPr>
          <w:rFonts w:ascii="Calibri" w:eastAsia="Times New Roman" w:hAnsi="Calibri"/>
        </w:rPr>
        <w:t xml:space="preserve">the literature. </w:t>
      </w:r>
      <w:r w:rsidR="00C328D2" w:rsidRPr="00C40B08">
        <w:rPr>
          <w:rFonts w:ascii="Calibri" w:hAnsi="Calibri"/>
        </w:rPr>
        <w:t xml:space="preserve">This section describes </w:t>
      </w:r>
      <w:r w:rsidR="00EC5C96" w:rsidRPr="00C40B08">
        <w:rPr>
          <w:rFonts w:ascii="Calibri" w:hAnsi="Calibri"/>
        </w:rPr>
        <w:t>GT-</w:t>
      </w:r>
      <w:r w:rsidR="00EF4690" w:rsidRPr="00C40B08">
        <w:rPr>
          <w:rFonts w:ascii="Calibri" w:hAnsi="Calibri"/>
        </w:rPr>
        <w:t xml:space="preserve">NEMS </w:t>
      </w:r>
      <w:r w:rsidR="00C328D2" w:rsidRPr="00C40B08">
        <w:rPr>
          <w:rFonts w:ascii="Calibri" w:hAnsi="Calibri"/>
        </w:rPr>
        <w:t xml:space="preserve">and the </w:t>
      </w:r>
      <w:r w:rsidR="00EF4690" w:rsidRPr="00C40B08">
        <w:rPr>
          <w:rFonts w:ascii="Calibri" w:hAnsi="Calibri"/>
        </w:rPr>
        <w:t xml:space="preserve">various </w:t>
      </w:r>
      <w:r w:rsidR="00C328D2" w:rsidRPr="00C40B08">
        <w:rPr>
          <w:rFonts w:ascii="Calibri" w:hAnsi="Calibri"/>
        </w:rPr>
        <w:t xml:space="preserve">scenarios </w:t>
      </w:r>
      <w:r w:rsidR="00EF4690" w:rsidRPr="00C40B08">
        <w:rPr>
          <w:rFonts w:ascii="Calibri" w:hAnsi="Calibri"/>
        </w:rPr>
        <w:t xml:space="preserve">we model to </w:t>
      </w:r>
      <w:r w:rsidR="003276ED" w:rsidRPr="00C40B08">
        <w:rPr>
          <w:rFonts w:ascii="Calibri" w:hAnsi="Calibri"/>
        </w:rPr>
        <w:t>help fill this gap</w:t>
      </w:r>
      <w:r w:rsidR="00C328D2" w:rsidRPr="00C40B08">
        <w:rPr>
          <w:rFonts w:ascii="Calibri" w:hAnsi="Calibri"/>
        </w:rPr>
        <w:t>.</w:t>
      </w:r>
      <w:r w:rsidR="001A64F0">
        <w:rPr>
          <w:rFonts w:ascii="Calibri" w:hAnsi="Calibri"/>
        </w:rPr>
        <w:t xml:space="preserve"> </w:t>
      </w:r>
    </w:p>
    <w:p w14:paraId="11B7414E" w14:textId="729B471A" w:rsidR="00C328D2" w:rsidRPr="00C40B08" w:rsidRDefault="00E83499" w:rsidP="000656C9">
      <w:pPr>
        <w:pStyle w:val="ListParagraph"/>
        <w:numPr>
          <w:ilvl w:val="1"/>
          <w:numId w:val="1"/>
        </w:numPr>
        <w:spacing w:line="276" w:lineRule="auto"/>
        <w:outlineLvl w:val="1"/>
        <w:rPr>
          <w:rFonts w:ascii="Calibri" w:hAnsi="Calibri" w:cs="Times New Roman"/>
          <w:b/>
          <w:i/>
          <w:sz w:val="24"/>
          <w:szCs w:val="24"/>
        </w:rPr>
      </w:pPr>
      <w:r w:rsidRPr="00C40B08">
        <w:rPr>
          <w:rFonts w:ascii="Calibri" w:hAnsi="Calibri" w:cs="Times New Roman"/>
          <w:b/>
          <w:i/>
          <w:sz w:val="24"/>
          <w:szCs w:val="24"/>
        </w:rPr>
        <w:t>GT-</w:t>
      </w:r>
      <w:r w:rsidR="00A32777" w:rsidRPr="00C40B08">
        <w:rPr>
          <w:rFonts w:ascii="Calibri" w:hAnsi="Calibri" w:cs="Times New Roman"/>
          <w:b/>
          <w:i/>
          <w:sz w:val="24"/>
          <w:szCs w:val="24"/>
        </w:rPr>
        <w:t>NEMS</w:t>
      </w:r>
    </w:p>
    <w:p w14:paraId="199328EC" w14:textId="77777777" w:rsidR="000656C9" w:rsidRDefault="00E83499"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t>GT-</w:t>
      </w:r>
      <w:r w:rsidR="005E597B" w:rsidRPr="00C40B08">
        <w:rPr>
          <w:rFonts w:ascii="Calibri" w:hAnsi="Calibri"/>
        </w:rPr>
        <w:t xml:space="preserve">NEMS </w:t>
      </w:r>
      <w:r w:rsidR="00157A66" w:rsidRPr="00C40B08">
        <w:rPr>
          <w:rFonts w:ascii="Calibri" w:hAnsi="Calibri"/>
        </w:rPr>
        <w:t xml:space="preserve">is </w:t>
      </w:r>
      <w:r w:rsidR="00EF4690" w:rsidRPr="00C40B08">
        <w:rPr>
          <w:rFonts w:ascii="Calibri" w:hAnsi="Calibri"/>
        </w:rPr>
        <w:t xml:space="preserve">a </w:t>
      </w:r>
      <w:r w:rsidR="005123E5" w:rsidRPr="00C40B08">
        <w:rPr>
          <w:rFonts w:ascii="Calibri" w:hAnsi="Calibri"/>
        </w:rPr>
        <w:t xml:space="preserve">multi-sectoral </w:t>
      </w:r>
      <w:r w:rsidR="00157A66" w:rsidRPr="00C40B08">
        <w:rPr>
          <w:rFonts w:ascii="Calibri" w:hAnsi="Calibri"/>
        </w:rPr>
        <w:t xml:space="preserve">computational general equilibrium model </w:t>
      </w:r>
      <w:r w:rsidR="007D349B" w:rsidRPr="00C40B08">
        <w:rPr>
          <w:rFonts w:ascii="Calibri" w:hAnsi="Calibri"/>
        </w:rPr>
        <w:t xml:space="preserve">of the U.S. energy economy </w:t>
      </w:r>
      <w:r w:rsidR="00EF4690" w:rsidRPr="00C40B08">
        <w:rPr>
          <w:rFonts w:ascii="Calibri" w:hAnsi="Calibri"/>
        </w:rPr>
        <w:t>designed to</w:t>
      </w:r>
      <w:r w:rsidR="007D349B" w:rsidRPr="00C40B08">
        <w:rPr>
          <w:rFonts w:ascii="Calibri" w:hAnsi="Calibri"/>
        </w:rPr>
        <w:t xml:space="preserve"> </w:t>
      </w:r>
      <w:r w:rsidR="00EF4690" w:rsidRPr="00C40B08">
        <w:rPr>
          <w:rFonts w:ascii="Calibri" w:hAnsi="Calibri"/>
        </w:rPr>
        <w:t>identify</w:t>
      </w:r>
      <w:r w:rsidR="007D349B" w:rsidRPr="00C40B08">
        <w:rPr>
          <w:rFonts w:ascii="Calibri" w:hAnsi="Calibri"/>
        </w:rPr>
        <w:t xml:space="preserve"> cost-minimizing resource investments to meet energy demand growth. </w:t>
      </w:r>
      <w:r w:rsidRPr="00C40B08">
        <w:rPr>
          <w:rFonts w:ascii="Calibri" w:hAnsi="Calibri"/>
        </w:rPr>
        <w:t xml:space="preserve">Its platform (NEMS) </w:t>
      </w:r>
      <w:r w:rsidR="007D349B" w:rsidRPr="00C40B08">
        <w:rPr>
          <w:rFonts w:ascii="Calibri" w:hAnsi="Calibri"/>
        </w:rPr>
        <w:t xml:space="preserve">is </w:t>
      </w:r>
      <w:r w:rsidR="00957575" w:rsidRPr="00C40B08">
        <w:rPr>
          <w:rFonts w:ascii="Calibri" w:hAnsi="Calibri"/>
        </w:rPr>
        <w:t xml:space="preserve">the federal government's flagship energy policy model </w:t>
      </w:r>
      <w:r w:rsidR="005540E6" w:rsidRPr="00C40B08">
        <w:rPr>
          <w:rFonts w:ascii="Calibri" w:hAnsi="Calibri"/>
        </w:rPr>
        <w:t>(</w:t>
      </w:r>
      <w:proofErr w:type="spellStart"/>
      <w:r w:rsidR="005540E6" w:rsidRPr="00C40B08">
        <w:rPr>
          <w:rFonts w:ascii="Calibri" w:hAnsi="Calibri"/>
        </w:rPr>
        <w:t>Cullenward</w:t>
      </w:r>
      <w:proofErr w:type="spellEnd"/>
      <w:r w:rsidR="003276ED" w:rsidRPr="00C40B08">
        <w:rPr>
          <w:rFonts w:ascii="Calibri" w:hAnsi="Calibri"/>
        </w:rPr>
        <w:t>, et al.</w:t>
      </w:r>
      <w:r w:rsidR="005540E6" w:rsidRPr="00C40B08">
        <w:rPr>
          <w:rFonts w:ascii="Calibri" w:hAnsi="Calibri"/>
        </w:rPr>
        <w:t>,</w:t>
      </w:r>
      <w:r w:rsidR="003276ED" w:rsidRPr="00C40B08">
        <w:rPr>
          <w:rFonts w:ascii="Calibri" w:hAnsi="Calibri"/>
        </w:rPr>
        <w:t xml:space="preserve"> </w:t>
      </w:r>
      <w:r w:rsidR="007960BD">
        <w:rPr>
          <w:rFonts w:ascii="Calibri" w:hAnsi="Calibri"/>
        </w:rPr>
        <w:t>2016) –</w:t>
      </w:r>
      <w:r w:rsidR="005540E6" w:rsidRPr="00C40B08">
        <w:rPr>
          <w:rFonts w:ascii="Calibri" w:hAnsi="Calibri"/>
        </w:rPr>
        <w:t xml:space="preserve"> </w:t>
      </w:r>
      <w:r w:rsidR="007D349B" w:rsidRPr="00C40B08">
        <w:rPr>
          <w:rFonts w:ascii="Calibri" w:hAnsi="Calibri"/>
        </w:rPr>
        <w:t xml:space="preserve">“arguably the most influential energy model in the United States” (Wilkerson, </w:t>
      </w:r>
      <w:r w:rsidR="005540E6" w:rsidRPr="00C40B08">
        <w:rPr>
          <w:rFonts w:ascii="Calibri" w:hAnsi="Calibri"/>
        </w:rPr>
        <w:t>et al.</w:t>
      </w:r>
      <w:r w:rsidR="007D349B" w:rsidRPr="00C40B08">
        <w:rPr>
          <w:rFonts w:ascii="Calibri" w:hAnsi="Calibri"/>
        </w:rPr>
        <w:t>, 2013</w:t>
      </w:r>
      <w:r w:rsidR="00C87473" w:rsidRPr="00C40B08">
        <w:rPr>
          <w:rFonts w:ascii="Calibri" w:hAnsi="Calibri"/>
        </w:rPr>
        <w:t>)</w:t>
      </w:r>
      <w:r w:rsidR="003276ED" w:rsidRPr="00C40B08">
        <w:rPr>
          <w:rFonts w:ascii="Calibri" w:hAnsi="Calibri"/>
        </w:rPr>
        <w:t>. NEMS</w:t>
      </w:r>
      <w:r w:rsidR="00C87473" w:rsidRPr="00C40B08">
        <w:rPr>
          <w:rFonts w:ascii="Calibri" w:hAnsi="Calibri"/>
        </w:rPr>
        <w:t xml:space="preserve"> has informed </w:t>
      </w:r>
      <w:r w:rsidR="005123E5" w:rsidRPr="00C40B08">
        <w:rPr>
          <w:rFonts w:ascii="Calibri" w:hAnsi="Calibri"/>
        </w:rPr>
        <w:t>a wide array of policy decisions including the</w:t>
      </w:r>
      <w:r w:rsidR="003208ED" w:rsidRPr="00C40B08">
        <w:rPr>
          <w:rFonts w:ascii="Calibri" w:hAnsi="Calibri"/>
        </w:rPr>
        <w:t xml:space="preserve"> debate over whether or not the U.S. should </w:t>
      </w:r>
      <w:r w:rsidR="005123E5" w:rsidRPr="00C40B08">
        <w:rPr>
          <w:rFonts w:ascii="Calibri" w:hAnsi="Calibri"/>
        </w:rPr>
        <w:t>ratify</w:t>
      </w:r>
      <w:r w:rsidR="003208ED" w:rsidRPr="00C40B08">
        <w:rPr>
          <w:rFonts w:ascii="Calibri" w:hAnsi="Calibri"/>
        </w:rPr>
        <w:t xml:space="preserve"> the Kyoto Protocol (Brown,</w:t>
      </w:r>
      <w:r w:rsidR="00EF4690" w:rsidRPr="00C40B08">
        <w:rPr>
          <w:rFonts w:ascii="Calibri" w:hAnsi="Calibri"/>
        </w:rPr>
        <w:t xml:space="preserve"> et al.</w:t>
      </w:r>
      <w:r w:rsidR="003208ED" w:rsidRPr="00C40B08">
        <w:rPr>
          <w:rFonts w:ascii="Calibri" w:hAnsi="Calibri"/>
        </w:rPr>
        <w:t xml:space="preserve"> 2001)</w:t>
      </w:r>
      <w:r w:rsidR="007D349B" w:rsidRPr="00C40B08">
        <w:rPr>
          <w:rFonts w:ascii="Calibri" w:hAnsi="Calibri"/>
        </w:rPr>
        <w:t xml:space="preserve">. </w:t>
      </w:r>
      <w:r w:rsidRPr="00C40B08">
        <w:rPr>
          <w:rFonts w:ascii="Calibri" w:hAnsi="Calibri"/>
        </w:rPr>
        <w:t>To achieve our study goals</w:t>
      </w:r>
      <w:r w:rsidR="006878F6" w:rsidRPr="00C40B08">
        <w:rPr>
          <w:rFonts w:ascii="Calibri" w:hAnsi="Calibri"/>
        </w:rPr>
        <w:t xml:space="preserve">, </w:t>
      </w:r>
      <w:r w:rsidR="003276ED" w:rsidRPr="00C40B08">
        <w:rPr>
          <w:rFonts w:ascii="Calibri" w:hAnsi="Calibri"/>
        </w:rPr>
        <w:t xml:space="preserve">we created GT-NEMS, a transformed version of </w:t>
      </w:r>
      <w:r w:rsidRPr="00C40B08">
        <w:rPr>
          <w:rFonts w:ascii="Calibri" w:hAnsi="Calibri"/>
        </w:rPr>
        <w:t>the model</w:t>
      </w:r>
      <w:r w:rsidR="00C87473" w:rsidRPr="00C40B08">
        <w:rPr>
          <w:rFonts w:ascii="Calibri" w:hAnsi="Calibri"/>
        </w:rPr>
        <w:t xml:space="preserve"> that generated </w:t>
      </w:r>
      <w:r w:rsidR="006878F6" w:rsidRPr="00C40B08">
        <w:rPr>
          <w:rFonts w:ascii="Calibri" w:hAnsi="Calibri"/>
        </w:rPr>
        <w:t xml:space="preserve">the </w:t>
      </w:r>
      <w:r w:rsidR="00C87473" w:rsidRPr="00C40B08">
        <w:rPr>
          <w:rFonts w:ascii="Calibri" w:hAnsi="Calibri"/>
        </w:rPr>
        <w:t xml:space="preserve">energy supply and demand forecasts for the U.S. </w:t>
      </w:r>
      <w:r w:rsidR="003276ED" w:rsidRPr="00C40B08">
        <w:rPr>
          <w:rFonts w:ascii="Calibri" w:hAnsi="Calibri"/>
        </w:rPr>
        <w:t xml:space="preserve">as </w:t>
      </w:r>
      <w:r w:rsidR="00C87473" w:rsidRPr="00C40B08">
        <w:rPr>
          <w:rFonts w:ascii="Calibri" w:hAnsi="Calibri"/>
        </w:rPr>
        <w:t xml:space="preserve">published in the </w:t>
      </w:r>
      <w:r w:rsidR="00E51A62" w:rsidRPr="00C40B08">
        <w:rPr>
          <w:rFonts w:ascii="Calibri" w:hAnsi="Calibri"/>
          <w:i/>
        </w:rPr>
        <w:t>Annual Energy Outlook 2</w:t>
      </w:r>
      <w:r w:rsidR="007D349B" w:rsidRPr="00C40B08">
        <w:rPr>
          <w:rFonts w:ascii="Calibri" w:hAnsi="Calibri"/>
          <w:i/>
        </w:rPr>
        <w:t>0</w:t>
      </w:r>
      <w:r w:rsidR="00E51A62" w:rsidRPr="00C40B08">
        <w:rPr>
          <w:rFonts w:ascii="Calibri" w:hAnsi="Calibri"/>
          <w:i/>
        </w:rPr>
        <w:t>1</w:t>
      </w:r>
      <w:r w:rsidR="007D349B" w:rsidRPr="00C40B08">
        <w:rPr>
          <w:rFonts w:ascii="Calibri" w:hAnsi="Calibri"/>
          <w:i/>
        </w:rPr>
        <w:t>5</w:t>
      </w:r>
      <w:r w:rsidR="007D349B" w:rsidRPr="00C40B08">
        <w:rPr>
          <w:rFonts w:ascii="Calibri" w:hAnsi="Calibri"/>
        </w:rPr>
        <w:t xml:space="preserve"> (</w:t>
      </w:r>
      <w:r w:rsidR="00D35686" w:rsidRPr="00C40B08">
        <w:rPr>
          <w:rFonts w:ascii="Calibri" w:hAnsi="Calibri"/>
        </w:rPr>
        <w:t>US EIA</w:t>
      </w:r>
      <w:r w:rsidR="00EA6EA3" w:rsidRPr="00C40B08">
        <w:rPr>
          <w:rFonts w:ascii="Calibri" w:hAnsi="Calibri"/>
        </w:rPr>
        <w:t>,</w:t>
      </w:r>
      <w:r w:rsidR="00C87473" w:rsidRPr="00C40B08">
        <w:rPr>
          <w:rFonts w:ascii="Calibri" w:hAnsi="Calibri"/>
        </w:rPr>
        <w:t xml:space="preserve"> 2015a).</w:t>
      </w:r>
      <w:r w:rsidR="007960BD">
        <w:rPr>
          <w:rFonts w:ascii="Calibri" w:hAnsi="Calibri"/>
        </w:rPr>
        <w:t xml:space="preserve"> Supplemental materials itemize the differences between NEMS and GT-NEMS.</w:t>
      </w:r>
    </w:p>
    <w:p w14:paraId="774C5FCE" w14:textId="3D9599CF" w:rsidR="007D349B" w:rsidRPr="00C40B08" w:rsidRDefault="00E83499"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t>GT-</w:t>
      </w:r>
      <w:r w:rsidR="00F56DB8" w:rsidRPr="00C40B08">
        <w:rPr>
          <w:rFonts w:ascii="Calibri" w:hAnsi="Calibri"/>
        </w:rPr>
        <w:t>NEMS is composed of</w:t>
      </w:r>
      <w:r w:rsidR="007D349B" w:rsidRPr="00C40B08">
        <w:rPr>
          <w:rFonts w:ascii="Calibri" w:hAnsi="Calibri"/>
        </w:rPr>
        <w:t xml:space="preserve"> </w:t>
      </w:r>
      <w:r w:rsidR="00BF02A2" w:rsidRPr="00C40B08">
        <w:rPr>
          <w:rFonts w:ascii="Calibri" w:hAnsi="Calibri"/>
        </w:rPr>
        <w:t>four demand modules (residential, commercial, industrial, and transportation)</w:t>
      </w:r>
      <w:r w:rsidR="00F56DB8" w:rsidRPr="00C40B08">
        <w:rPr>
          <w:rFonts w:ascii="Calibri" w:hAnsi="Calibri"/>
        </w:rPr>
        <w:t xml:space="preserve">, </w:t>
      </w:r>
      <w:r w:rsidR="00BF02A2" w:rsidRPr="00C40B08">
        <w:rPr>
          <w:rFonts w:ascii="Calibri" w:hAnsi="Calibri"/>
        </w:rPr>
        <w:t xml:space="preserve">four supply modules (oil and gas, gas transmission, coal, and renewable fuels), </w:t>
      </w:r>
      <w:r w:rsidR="00F56DB8" w:rsidRPr="00C40B08">
        <w:rPr>
          <w:rFonts w:ascii="Calibri" w:hAnsi="Calibri"/>
        </w:rPr>
        <w:t>and</w:t>
      </w:r>
      <w:r w:rsidR="00BF02A2" w:rsidRPr="00C40B08">
        <w:rPr>
          <w:rFonts w:ascii="Calibri" w:hAnsi="Calibri"/>
        </w:rPr>
        <w:t xml:space="preserve"> two conversion modules </w:t>
      </w:r>
      <w:r w:rsidR="00F56DB8" w:rsidRPr="00C40B08">
        <w:rPr>
          <w:rFonts w:ascii="Calibri" w:hAnsi="Calibri"/>
        </w:rPr>
        <w:t xml:space="preserve">(electricity and petroleum). In addition, </w:t>
      </w:r>
      <w:r w:rsidRPr="00C40B08">
        <w:rPr>
          <w:rFonts w:ascii="Calibri" w:hAnsi="Calibri"/>
        </w:rPr>
        <w:t xml:space="preserve">it </w:t>
      </w:r>
      <w:r w:rsidR="00F56DB8" w:rsidRPr="00C40B08">
        <w:rPr>
          <w:rFonts w:ascii="Calibri" w:hAnsi="Calibri"/>
        </w:rPr>
        <w:t xml:space="preserve">has an </w:t>
      </w:r>
      <w:r w:rsidR="00BF02A2" w:rsidRPr="00C40B08">
        <w:rPr>
          <w:rFonts w:ascii="Calibri" w:hAnsi="Calibri"/>
        </w:rPr>
        <w:t>international</w:t>
      </w:r>
      <w:r w:rsidR="00F56DB8" w:rsidRPr="00C40B08">
        <w:rPr>
          <w:rFonts w:ascii="Calibri" w:hAnsi="Calibri"/>
        </w:rPr>
        <w:t xml:space="preserve"> </w:t>
      </w:r>
      <w:r w:rsidR="00BF02A2" w:rsidRPr="00C40B08">
        <w:rPr>
          <w:rFonts w:ascii="Calibri" w:hAnsi="Calibri"/>
        </w:rPr>
        <w:t>energy module</w:t>
      </w:r>
      <w:r w:rsidR="00752AB5" w:rsidRPr="00C40B08">
        <w:rPr>
          <w:rFonts w:ascii="Calibri" w:hAnsi="Calibri"/>
        </w:rPr>
        <w:t xml:space="preserve"> </w:t>
      </w:r>
      <w:r w:rsidR="00BF02A2" w:rsidRPr="00C40B08">
        <w:rPr>
          <w:rFonts w:ascii="Calibri" w:hAnsi="Calibri"/>
        </w:rPr>
        <w:t>and an integrating module</w:t>
      </w:r>
      <w:r w:rsidR="00752AB5" w:rsidRPr="00C40B08">
        <w:rPr>
          <w:rFonts w:ascii="Calibri" w:hAnsi="Calibri"/>
        </w:rPr>
        <w:t xml:space="preserve">, and it imports the Global Insights macroeconomic model that is produced and updated every year by IHS. </w:t>
      </w:r>
      <w:r w:rsidR="00687C45" w:rsidRPr="00C40B08">
        <w:rPr>
          <w:rFonts w:ascii="Calibri" w:hAnsi="Calibri"/>
        </w:rPr>
        <w:t>The electricity module</w:t>
      </w:r>
      <w:r w:rsidR="007D349B" w:rsidRPr="00C40B08">
        <w:rPr>
          <w:rFonts w:ascii="Calibri" w:hAnsi="Calibri"/>
        </w:rPr>
        <w:t xml:space="preserve"> performs separate projections of power demand and the cost-minimizing supply necessary to meet that demand for </w:t>
      </w:r>
      <w:r w:rsidR="001526D3" w:rsidRPr="00C40B08">
        <w:rPr>
          <w:rFonts w:ascii="Calibri" w:hAnsi="Calibri"/>
        </w:rPr>
        <w:t xml:space="preserve">22 North American Electricity Reliability Corporation (NERC) </w:t>
      </w:r>
      <w:r w:rsidR="00F04018" w:rsidRPr="00C40B08">
        <w:rPr>
          <w:rFonts w:ascii="Calibri" w:hAnsi="Calibri"/>
        </w:rPr>
        <w:t>regions</w:t>
      </w:r>
      <w:r w:rsidR="007D349B" w:rsidRPr="00C40B08">
        <w:rPr>
          <w:rFonts w:ascii="Calibri" w:hAnsi="Calibri"/>
        </w:rPr>
        <w:t xml:space="preserve">. </w:t>
      </w:r>
      <w:r w:rsidR="001526D3" w:rsidRPr="00C40B08">
        <w:rPr>
          <w:rFonts w:ascii="Calibri" w:hAnsi="Calibri"/>
        </w:rPr>
        <w:t>To evaluate</w:t>
      </w:r>
      <w:r w:rsidR="007D349B" w:rsidRPr="00C40B08">
        <w:rPr>
          <w:rFonts w:ascii="Calibri" w:hAnsi="Calibri"/>
        </w:rPr>
        <w:t xml:space="preserve"> cost-minimizing supply choices, </w:t>
      </w:r>
      <w:r w:rsidR="006E2FD6" w:rsidRPr="00C40B08">
        <w:rPr>
          <w:rFonts w:ascii="Calibri" w:hAnsi="Calibri"/>
        </w:rPr>
        <w:t>survey data on costs and performance of capacity types as well as end-use load shapes and other key variables are derived from</w:t>
      </w:r>
      <w:r w:rsidR="007D349B" w:rsidRPr="00C40B08">
        <w:rPr>
          <w:rFonts w:ascii="Calibri" w:hAnsi="Calibri"/>
        </w:rPr>
        <w:t xml:space="preserve"> EIA's Form</w:t>
      </w:r>
      <w:r w:rsidR="006E2FD6" w:rsidRPr="00C40B08">
        <w:rPr>
          <w:rFonts w:ascii="Calibri" w:hAnsi="Calibri"/>
        </w:rPr>
        <w:t>s</w:t>
      </w:r>
      <w:r w:rsidR="007D349B" w:rsidRPr="00C40B08">
        <w:rPr>
          <w:rFonts w:ascii="Calibri" w:hAnsi="Calibri"/>
        </w:rPr>
        <w:t xml:space="preserve"> 860, 861, and 923, Federal Energy Regulatory Commission's Form 1</w:t>
      </w:r>
      <w:r w:rsidR="006E2FD6" w:rsidRPr="00C40B08">
        <w:rPr>
          <w:rFonts w:ascii="Calibri" w:hAnsi="Calibri"/>
        </w:rPr>
        <w:t>, and NERC projections</w:t>
      </w:r>
      <w:r w:rsidR="004D0795" w:rsidRPr="00C40B08">
        <w:rPr>
          <w:rFonts w:ascii="Calibri" w:hAnsi="Calibri"/>
        </w:rPr>
        <w:t xml:space="preserve"> (Smith and Brown, 2015).</w:t>
      </w:r>
    </w:p>
    <w:p w14:paraId="3202540A" w14:textId="68514937" w:rsidR="00C5013F" w:rsidRPr="00C40B08" w:rsidRDefault="00E83499"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t>GT-</w:t>
      </w:r>
      <w:r w:rsidR="00157A66" w:rsidRPr="00C40B08">
        <w:rPr>
          <w:rFonts w:ascii="Calibri" w:hAnsi="Calibri"/>
        </w:rPr>
        <w:t xml:space="preserve">NEMS </w:t>
      </w:r>
      <w:r w:rsidR="00F04018" w:rsidRPr="00C40B08">
        <w:rPr>
          <w:rFonts w:ascii="Calibri" w:hAnsi="Calibri"/>
        </w:rPr>
        <w:t>models</w:t>
      </w:r>
      <w:r w:rsidR="00157A66" w:rsidRPr="00C40B08">
        <w:rPr>
          <w:rFonts w:ascii="Calibri" w:hAnsi="Calibri"/>
        </w:rPr>
        <w:t xml:space="preserve"> the demand </w:t>
      </w:r>
      <w:r w:rsidR="00F04018" w:rsidRPr="00C40B08">
        <w:rPr>
          <w:rFonts w:ascii="Calibri" w:hAnsi="Calibri"/>
        </w:rPr>
        <w:t>sectors</w:t>
      </w:r>
      <w:r w:rsidR="007D349B" w:rsidRPr="00C40B08">
        <w:rPr>
          <w:rFonts w:ascii="Calibri" w:hAnsi="Calibri"/>
        </w:rPr>
        <w:t xml:space="preserve"> </w:t>
      </w:r>
      <w:r w:rsidR="00F04018" w:rsidRPr="00C40B08">
        <w:rPr>
          <w:rFonts w:ascii="Calibri" w:hAnsi="Calibri"/>
        </w:rPr>
        <w:t>using</w:t>
      </w:r>
      <w:r w:rsidR="007D349B" w:rsidRPr="00C40B08">
        <w:rPr>
          <w:rFonts w:ascii="Calibri" w:hAnsi="Calibri"/>
        </w:rPr>
        <w:t xml:space="preserve"> nine Census Divisions. </w:t>
      </w:r>
      <w:r w:rsidR="00094F32" w:rsidRPr="00C40B08">
        <w:rPr>
          <w:rFonts w:ascii="Calibri" w:hAnsi="Calibri"/>
        </w:rPr>
        <w:t>For buildings, appliances, industrial motors</w:t>
      </w:r>
      <w:r w:rsidR="00F56DB8" w:rsidRPr="00C40B08">
        <w:rPr>
          <w:rFonts w:ascii="Calibri" w:hAnsi="Calibri"/>
        </w:rPr>
        <w:t xml:space="preserve"> and</w:t>
      </w:r>
      <w:r w:rsidR="00094F32" w:rsidRPr="00C40B08">
        <w:rPr>
          <w:rFonts w:ascii="Calibri" w:hAnsi="Calibri"/>
        </w:rPr>
        <w:t xml:space="preserve"> drives, and </w:t>
      </w:r>
      <w:r w:rsidR="00C5013F" w:rsidRPr="00C40B08">
        <w:rPr>
          <w:rFonts w:ascii="Calibri" w:hAnsi="Calibri"/>
        </w:rPr>
        <w:t>combined heat and power (CHP)</w:t>
      </w:r>
      <w:r w:rsidR="00094F32" w:rsidRPr="00C40B08">
        <w:rPr>
          <w:rFonts w:ascii="Calibri" w:hAnsi="Calibri"/>
        </w:rPr>
        <w:t xml:space="preserve"> systems, NEMS adds or </w:t>
      </w:r>
      <w:r w:rsidR="00094F32" w:rsidRPr="00C40B08">
        <w:rPr>
          <w:rFonts w:ascii="Calibri" w:hAnsi="Calibri"/>
        </w:rPr>
        <w:lastRenderedPageBreak/>
        <w:t>subtract</w:t>
      </w:r>
      <w:r w:rsidR="00F56DB8" w:rsidRPr="00C40B08">
        <w:rPr>
          <w:rFonts w:ascii="Calibri" w:hAnsi="Calibri"/>
        </w:rPr>
        <w:t>s</w:t>
      </w:r>
      <w:r w:rsidR="00094F32" w:rsidRPr="00C40B08">
        <w:rPr>
          <w:rFonts w:ascii="Calibri" w:hAnsi="Calibri"/>
        </w:rPr>
        <w:t xml:space="preserve"> from the existing stock to account </w:t>
      </w:r>
      <w:r w:rsidR="000A36F3" w:rsidRPr="00C40B08">
        <w:rPr>
          <w:rFonts w:ascii="Calibri" w:hAnsi="Calibri"/>
        </w:rPr>
        <w:t xml:space="preserve">for new purchases, retrofits, and </w:t>
      </w:r>
      <w:r w:rsidR="00094F32" w:rsidRPr="00C40B08">
        <w:rPr>
          <w:rFonts w:ascii="Calibri" w:hAnsi="Calibri"/>
        </w:rPr>
        <w:t>retirements</w:t>
      </w:r>
      <w:r w:rsidR="000A36F3" w:rsidRPr="00C40B08">
        <w:rPr>
          <w:rFonts w:ascii="Calibri" w:hAnsi="Calibri"/>
        </w:rPr>
        <w:t>.</w:t>
      </w:r>
      <w:r w:rsidR="00094F32" w:rsidRPr="00C40B08">
        <w:rPr>
          <w:rFonts w:ascii="Calibri" w:hAnsi="Calibri"/>
        </w:rPr>
        <w:t xml:space="preserve"> </w:t>
      </w:r>
      <w:r w:rsidR="00247F03" w:rsidRPr="00C40B08">
        <w:rPr>
          <w:rFonts w:ascii="Calibri" w:hAnsi="Calibri"/>
        </w:rPr>
        <w:t>For mature technologies, timelines</w:t>
      </w:r>
      <w:r w:rsidR="00C5013F" w:rsidRPr="00C40B08">
        <w:rPr>
          <w:rFonts w:ascii="Calibri" w:hAnsi="Calibri"/>
        </w:rPr>
        <w:t xml:space="preserve"> of </w:t>
      </w:r>
      <w:r w:rsidR="00247F03" w:rsidRPr="00C40B08">
        <w:rPr>
          <w:rFonts w:ascii="Calibri" w:hAnsi="Calibri"/>
        </w:rPr>
        <w:t>equipment costs and efficiencies are specified by fuel type</w:t>
      </w:r>
      <w:r w:rsidR="00C5013F" w:rsidRPr="00C40B08">
        <w:rPr>
          <w:rFonts w:ascii="Calibri" w:hAnsi="Calibri"/>
        </w:rPr>
        <w:t xml:space="preserve">. </w:t>
      </w:r>
      <w:r w:rsidR="00247F03" w:rsidRPr="00C40B08">
        <w:rPr>
          <w:rFonts w:ascii="Calibri" w:hAnsi="Calibri"/>
        </w:rPr>
        <w:t>For nascent technologies</w:t>
      </w:r>
      <w:r w:rsidR="00517F92" w:rsidRPr="00C40B08">
        <w:rPr>
          <w:rFonts w:ascii="Calibri" w:hAnsi="Calibri"/>
        </w:rPr>
        <w:t xml:space="preserve"> such as solid state lighting</w:t>
      </w:r>
      <w:r w:rsidR="00247F03" w:rsidRPr="00C40B08">
        <w:rPr>
          <w:rFonts w:ascii="Calibri" w:hAnsi="Calibri"/>
        </w:rPr>
        <w:t xml:space="preserve">, </w:t>
      </w:r>
      <w:r w:rsidR="004D2C33" w:rsidRPr="00C40B08">
        <w:rPr>
          <w:rFonts w:ascii="Calibri" w:hAnsi="Calibri"/>
        </w:rPr>
        <w:t xml:space="preserve">endogenous </w:t>
      </w:r>
      <w:r w:rsidR="00247F03" w:rsidRPr="00C40B08">
        <w:rPr>
          <w:rFonts w:ascii="Calibri" w:hAnsi="Calibri"/>
        </w:rPr>
        <w:t>lear</w:t>
      </w:r>
      <w:r w:rsidR="00426D60" w:rsidRPr="00C40B08">
        <w:rPr>
          <w:rFonts w:ascii="Calibri" w:hAnsi="Calibri"/>
        </w:rPr>
        <w:t xml:space="preserve">ning curves </w:t>
      </w:r>
      <w:r w:rsidR="004D2C33" w:rsidRPr="00C40B08">
        <w:rPr>
          <w:rFonts w:ascii="Calibri" w:hAnsi="Calibri"/>
        </w:rPr>
        <w:t>model technology energy performance</w:t>
      </w:r>
      <w:r w:rsidR="00247F03" w:rsidRPr="00C40B08">
        <w:rPr>
          <w:rFonts w:ascii="Calibri" w:hAnsi="Calibri"/>
        </w:rPr>
        <w:t>.</w:t>
      </w:r>
      <w:r w:rsidR="004D2C33" w:rsidRPr="00C40B08">
        <w:rPr>
          <w:rFonts w:ascii="Calibri" w:hAnsi="Calibri"/>
        </w:rPr>
        <w:t xml:space="preserve"> </w:t>
      </w:r>
    </w:p>
    <w:p w14:paraId="5AA75FF9" w14:textId="37019DE3" w:rsidR="00642E82" w:rsidRPr="00C40B08" w:rsidRDefault="00642E82"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t xml:space="preserve">For residential buildings, GT-NEMS uses energy prices and macroeconomic indicators to estimate residential energy consumption for three building types (single-family, multi-family and mobile homes), 21 end-use services, and multiple fuel types. Logit functions assign market shares to competing technologies in ten major end-use services such as space heating, space cooling, </w:t>
      </w:r>
      <w:r>
        <w:rPr>
          <w:rFonts w:ascii="Calibri" w:hAnsi="Calibri"/>
        </w:rPr>
        <w:t xml:space="preserve">and water heating. </w:t>
      </w:r>
      <w:r w:rsidRPr="00C40B08">
        <w:rPr>
          <w:rFonts w:ascii="Calibri" w:hAnsi="Calibri"/>
        </w:rPr>
        <w:t xml:space="preserve">The implied discount rates are variable (e.g., ranging for space heating and cooling technologies from 15 to 42% – Wilkerson, et al., 2013). </w:t>
      </w:r>
      <w:r w:rsidR="00130B72">
        <w:rPr>
          <w:rFonts w:ascii="Calibri" w:hAnsi="Calibri"/>
        </w:rPr>
        <w:t>R</w:t>
      </w:r>
      <w:r w:rsidRPr="00C40B08">
        <w:rPr>
          <w:rFonts w:ascii="Calibri" w:hAnsi="Calibri"/>
        </w:rPr>
        <w:t>ebound effects are applied to three of these end-uses (heating, cooling, and lighting) and are parameterized to be lower for new versus surviving equipment. For example, new electric heat pumps in the residential sector have rebound effects of 4.02% for heating and 2.43% for cooling; in contrast, for surviving equipment, the rebound effects are 5.25% for heating and 2.96% for cooling. GT-NEMS assumes that a -0.15 short-term price elasticity of residential demand</w:t>
      </w:r>
      <w:r w:rsidR="00FA0690">
        <w:rPr>
          <w:rFonts w:ascii="Calibri" w:hAnsi="Calibri"/>
        </w:rPr>
        <w:t xml:space="preserve">. </w:t>
      </w:r>
      <w:r w:rsidRPr="00C40B08">
        <w:rPr>
          <w:rFonts w:ascii="Calibri" w:hAnsi="Calibri"/>
        </w:rPr>
        <w:t xml:space="preserve">The relatively low </w:t>
      </w:r>
      <w:r>
        <w:rPr>
          <w:rFonts w:ascii="Calibri" w:hAnsi="Calibri"/>
        </w:rPr>
        <w:t xml:space="preserve">discount rates and </w:t>
      </w:r>
      <w:r w:rsidRPr="00C40B08">
        <w:rPr>
          <w:rFonts w:ascii="Calibri" w:hAnsi="Calibri"/>
        </w:rPr>
        <w:t xml:space="preserve">price elasticity used in GT-NEMS </w:t>
      </w:r>
      <w:r>
        <w:rPr>
          <w:rFonts w:ascii="Calibri" w:hAnsi="Calibri"/>
        </w:rPr>
        <w:t>have been</w:t>
      </w:r>
      <w:r w:rsidRPr="00C40B08">
        <w:rPr>
          <w:rFonts w:ascii="Calibri" w:hAnsi="Calibri"/>
        </w:rPr>
        <w:t xml:space="preserve"> found to slightly under-estimate energy savings</w:t>
      </w:r>
      <w:r w:rsidR="00130B72">
        <w:rPr>
          <w:rFonts w:ascii="Calibri" w:hAnsi="Calibri"/>
        </w:rPr>
        <w:t xml:space="preserve">; in contrast, </w:t>
      </w:r>
      <w:r w:rsidRPr="00C40B08">
        <w:rPr>
          <w:rFonts w:ascii="Calibri" w:hAnsi="Calibri"/>
        </w:rPr>
        <w:t xml:space="preserve">the relatively low rebound effects </w:t>
      </w:r>
      <w:r>
        <w:rPr>
          <w:rFonts w:ascii="Calibri" w:hAnsi="Calibri"/>
        </w:rPr>
        <w:t>do not</w:t>
      </w:r>
      <w:r w:rsidRPr="00C40B08">
        <w:rPr>
          <w:rFonts w:ascii="Calibri" w:hAnsi="Calibri"/>
        </w:rPr>
        <w:t xml:space="preserve"> consistently </w:t>
      </w:r>
      <w:r>
        <w:rPr>
          <w:rFonts w:ascii="Calibri" w:hAnsi="Calibri"/>
        </w:rPr>
        <w:t>alter</w:t>
      </w:r>
      <w:r w:rsidRPr="00C40B08">
        <w:rPr>
          <w:rFonts w:ascii="Calibri" w:hAnsi="Calibri"/>
        </w:rPr>
        <w:t xml:space="preserve"> energy savings</w:t>
      </w:r>
      <w:r w:rsidR="00130B72">
        <w:rPr>
          <w:rFonts w:ascii="Calibri" w:hAnsi="Calibri"/>
        </w:rPr>
        <w:t xml:space="preserve"> in GT-NEMS</w:t>
      </w:r>
      <w:r>
        <w:rPr>
          <w:rFonts w:ascii="Calibri" w:hAnsi="Calibri"/>
        </w:rPr>
        <w:t xml:space="preserve">, perhaps because the macroeconomic model </w:t>
      </w:r>
      <w:proofErr w:type="spellStart"/>
      <w:r>
        <w:rPr>
          <w:rFonts w:ascii="Calibri" w:hAnsi="Calibri"/>
        </w:rPr>
        <w:t>respends</w:t>
      </w:r>
      <w:proofErr w:type="spellEnd"/>
      <w:r>
        <w:rPr>
          <w:rFonts w:ascii="Calibri" w:hAnsi="Calibri"/>
        </w:rPr>
        <w:t xml:space="preserve"> savings through purchases elsewhere in the economy</w:t>
      </w:r>
      <w:r w:rsidR="00130B72">
        <w:rPr>
          <w:rFonts w:ascii="Calibri" w:hAnsi="Calibri"/>
        </w:rPr>
        <w:t xml:space="preserve"> with </w:t>
      </w:r>
      <w:r w:rsidR="00FA0690">
        <w:rPr>
          <w:rFonts w:ascii="Calibri" w:hAnsi="Calibri"/>
        </w:rPr>
        <w:t>comparable</w:t>
      </w:r>
      <w:r w:rsidR="00130B72">
        <w:rPr>
          <w:rFonts w:ascii="Calibri" w:hAnsi="Calibri"/>
        </w:rPr>
        <w:t xml:space="preserve"> energy inputs</w:t>
      </w:r>
      <w:r w:rsidRPr="00C40B08">
        <w:rPr>
          <w:rFonts w:ascii="Calibri" w:hAnsi="Calibri"/>
        </w:rPr>
        <w:t xml:space="preserve"> </w:t>
      </w:r>
      <w:r w:rsidR="00130B72">
        <w:rPr>
          <w:rFonts w:ascii="Calibri" w:hAnsi="Calibri"/>
        </w:rPr>
        <w:t>and with CO</w:t>
      </w:r>
      <w:r w:rsidR="00130B72" w:rsidRPr="00130B72">
        <w:rPr>
          <w:rFonts w:ascii="Calibri" w:hAnsi="Calibri"/>
          <w:vertAlign w:val="subscript"/>
        </w:rPr>
        <w:t>2</w:t>
      </w:r>
      <w:r w:rsidR="00130B72">
        <w:rPr>
          <w:rFonts w:ascii="Calibri" w:hAnsi="Calibri"/>
        </w:rPr>
        <w:t xml:space="preserve"> effects that</w:t>
      </w:r>
      <w:r w:rsidRPr="00C40B08">
        <w:rPr>
          <w:rFonts w:ascii="Calibri" w:hAnsi="Calibri"/>
        </w:rPr>
        <w:t xml:space="preserve"> </w:t>
      </w:r>
      <w:r w:rsidR="00FA0690">
        <w:rPr>
          <w:rFonts w:ascii="Calibri" w:hAnsi="Calibri"/>
        </w:rPr>
        <w:t xml:space="preserve">depend </w:t>
      </w:r>
      <w:r w:rsidRPr="00C40B08">
        <w:rPr>
          <w:rFonts w:ascii="Calibri" w:hAnsi="Calibri"/>
        </w:rPr>
        <w:t>upon th</w:t>
      </w:r>
      <w:r w:rsidR="00130B72">
        <w:rPr>
          <w:rFonts w:ascii="Calibri" w:hAnsi="Calibri"/>
        </w:rPr>
        <w:t xml:space="preserve">e carbon intensity of the grid </w:t>
      </w:r>
      <w:r w:rsidR="00130B72" w:rsidRPr="00C40B08">
        <w:rPr>
          <w:rFonts w:ascii="Calibri" w:hAnsi="Calibri"/>
        </w:rPr>
        <w:t>(</w:t>
      </w:r>
      <w:r w:rsidR="0093132F">
        <w:rPr>
          <w:rFonts w:ascii="Calibri" w:hAnsi="Calibri"/>
        </w:rPr>
        <w:t>Cox, et al., 2013</w:t>
      </w:r>
      <w:r w:rsidR="00130B72">
        <w:rPr>
          <w:rFonts w:ascii="Calibri" w:hAnsi="Calibri"/>
        </w:rPr>
        <w:t xml:space="preserve">; </w:t>
      </w:r>
      <w:r w:rsidR="00130B72" w:rsidRPr="00C40B08">
        <w:rPr>
          <w:rFonts w:ascii="Calibri" w:hAnsi="Calibri"/>
        </w:rPr>
        <w:t>Wang, 2016</w:t>
      </w:r>
      <w:r w:rsidR="00130B72">
        <w:rPr>
          <w:rFonts w:ascii="Calibri" w:hAnsi="Calibri"/>
        </w:rPr>
        <w:t xml:space="preserve">; </w:t>
      </w:r>
      <w:r w:rsidRPr="00C40B08">
        <w:rPr>
          <w:rFonts w:ascii="Calibri" w:hAnsi="Calibri"/>
        </w:rPr>
        <w:t xml:space="preserve">Thomas, et al., 2014). Forecasts from commissioned reports are used to characterize 11 minor end-uses (U.S. Energy Information Administration, 2014b). Based on projected building and appliance stocks, the energy integrity of the building envelope is then modeled. </w:t>
      </w:r>
    </w:p>
    <w:p w14:paraId="014DA4AA" w14:textId="64DF8554" w:rsidR="00A02A72" w:rsidRPr="00C40B08" w:rsidRDefault="00034F39"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t xml:space="preserve">In the commercial sector, </w:t>
      </w:r>
      <w:r w:rsidR="00362BE1" w:rsidRPr="00C40B08">
        <w:rPr>
          <w:rFonts w:ascii="Calibri" w:hAnsi="Calibri"/>
        </w:rPr>
        <w:t>GT-</w:t>
      </w:r>
      <w:r w:rsidR="004D2C33" w:rsidRPr="00C40B08">
        <w:rPr>
          <w:rFonts w:ascii="Calibri" w:hAnsi="Calibri"/>
        </w:rPr>
        <w:t>NEMS forecasts building stocks and the energy integrity of building envelope</w:t>
      </w:r>
      <w:r w:rsidR="00857BAD" w:rsidRPr="00C40B08">
        <w:rPr>
          <w:rFonts w:ascii="Calibri" w:hAnsi="Calibri"/>
        </w:rPr>
        <w:t>s</w:t>
      </w:r>
      <w:r w:rsidR="004D2C33" w:rsidRPr="00C40B08">
        <w:rPr>
          <w:rFonts w:ascii="Calibri" w:hAnsi="Calibri"/>
        </w:rPr>
        <w:t xml:space="preserve"> </w:t>
      </w:r>
      <w:r w:rsidR="00857BAD" w:rsidRPr="00C40B08">
        <w:rPr>
          <w:rFonts w:ascii="Calibri" w:hAnsi="Calibri"/>
        </w:rPr>
        <w:t xml:space="preserve">before </w:t>
      </w:r>
      <w:r w:rsidR="00BD09DD" w:rsidRPr="00C40B08">
        <w:rPr>
          <w:rFonts w:ascii="Calibri" w:hAnsi="Calibri"/>
        </w:rPr>
        <w:t>forecasting</w:t>
      </w:r>
      <w:r w:rsidR="00857BAD" w:rsidRPr="00C40B08">
        <w:rPr>
          <w:rFonts w:ascii="Calibri" w:hAnsi="Calibri"/>
        </w:rPr>
        <w:t xml:space="preserve"> the stock of end-use technologies. </w:t>
      </w:r>
      <w:r w:rsidR="003276ED" w:rsidRPr="00C40B08">
        <w:rPr>
          <w:rFonts w:ascii="Calibri" w:hAnsi="Calibri"/>
        </w:rPr>
        <w:t xml:space="preserve">It </w:t>
      </w:r>
      <w:r w:rsidRPr="00C40B08">
        <w:rPr>
          <w:rFonts w:ascii="Calibri" w:hAnsi="Calibri"/>
        </w:rPr>
        <w:t xml:space="preserve">characterizes nearly 350 distinct </w:t>
      </w:r>
      <w:r w:rsidR="00857BAD" w:rsidRPr="00C40B08">
        <w:rPr>
          <w:rFonts w:ascii="Calibri" w:hAnsi="Calibri"/>
        </w:rPr>
        <w:t xml:space="preserve">types of </w:t>
      </w:r>
      <w:r w:rsidRPr="00C40B08">
        <w:rPr>
          <w:rFonts w:ascii="Calibri" w:hAnsi="Calibri"/>
        </w:rPr>
        <w:t xml:space="preserve">end-use </w:t>
      </w:r>
      <w:r w:rsidR="00857BAD" w:rsidRPr="00C40B08">
        <w:rPr>
          <w:rFonts w:ascii="Calibri" w:hAnsi="Calibri"/>
        </w:rPr>
        <w:t>equipment and appliances</w:t>
      </w:r>
      <w:r w:rsidRPr="00C40B08">
        <w:rPr>
          <w:rFonts w:ascii="Calibri" w:hAnsi="Calibri"/>
        </w:rPr>
        <w:t xml:space="preserve"> in nine end-uses and eleve</w:t>
      </w:r>
      <w:r w:rsidR="00780C05" w:rsidRPr="00C40B08">
        <w:rPr>
          <w:rFonts w:ascii="Calibri" w:hAnsi="Calibri"/>
        </w:rPr>
        <w:t>n types of commercial buildings.</w:t>
      </w:r>
      <w:r w:rsidRPr="00C40B08">
        <w:rPr>
          <w:rFonts w:ascii="Calibri" w:hAnsi="Calibri"/>
        </w:rPr>
        <w:t xml:space="preserve"> </w:t>
      </w:r>
      <w:r w:rsidR="003276ED" w:rsidRPr="00C40B08">
        <w:rPr>
          <w:rFonts w:ascii="Calibri" w:hAnsi="Calibri"/>
        </w:rPr>
        <w:t>GT-</w:t>
      </w:r>
      <w:r w:rsidR="00A32777" w:rsidRPr="00C40B08">
        <w:rPr>
          <w:rFonts w:ascii="Calibri" w:hAnsi="Calibri"/>
        </w:rPr>
        <w:t xml:space="preserve">NEMS employs a least-cost function within a set of rules governing the options from which </w:t>
      </w:r>
      <w:r w:rsidR="00094F32" w:rsidRPr="00C40B08">
        <w:rPr>
          <w:rFonts w:ascii="Calibri" w:hAnsi="Calibri"/>
        </w:rPr>
        <w:t xml:space="preserve">building </w:t>
      </w:r>
      <w:r w:rsidR="006429B1" w:rsidRPr="00C40B08">
        <w:rPr>
          <w:rFonts w:ascii="Calibri" w:hAnsi="Calibri"/>
        </w:rPr>
        <w:t xml:space="preserve">owners and operators </w:t>
      </w:r>
      <w:r w:rsidR="00A32777" w:rsidRPr="00C40B08">
        <w:rPr>
          <w:rFonts w:ascii="Calibri" w:hAnsi="Calibri"/>
        </w:rPr>
        <w:t>may choose technologies. Capital costs are amortized using “hurdle rates”, which are calculated for end-uses by year for different subsets of the population by summing the yield on U</w:t>
      </w:r>
      <w:r w:rsidR="006429B1" w:rsidRPr="00C40B08">
        <w:rPr>
          <w:rFonts w:ascii="Calibri" w:hAnsi="Calibri"/>
        </w:rPr>
        <w:t>.</w:t>
      </w:r>
      <w:r w:rsidR="00A32777" w:rsidRPr="00C40B08">
        <w:rPr>
          <w:rFonts w:ascii="Calibri" w:hAnsi="Calibri"/>
        </w:rPr>
        <w:t>S</w:t>
      </w:r>
      <w:r w:rsidR="006429B1" w:rsidRPr="00C40B08">
        <w:rPr>
          <w:rFonts w:ascii="Calibri" w:hAnsi="Calibri"/>
        </w:rPr>
        <w:t>. government ten-</w:t>
      </w:r>
      <w:r w:rsidR="00A32777" w:rsidRPr="00C40B08">
        <w:rPr>
          <w:rFonts w:ascii="Calibri" w:hAnsi="Calibri"/>
        </w:rPr>
        <w:t xml:space="preserve">year notes (endogenously determined) and the time preference premium of consumers (exogenous inputs to the model). </w:t>
      </w:r>
      <w:r w:rsidR="00C55250" w:rsidRPr="00C40B08">
        <w:rPr>
          <w:rFonts w:ascii="Calibri" w:hAnsi="Calibri"/>
        </w:rPr>
        <w:t xml:space="preserve">Ninety percent of commercial </w:t>
      </w:r>
      <w:proofErr w:type="spellStart"/>
      <w:r w:rsidR="00C55250" w:rsidRPr="00C40B08">
        <w:rPr>
          <w:rFonts w:ascii="Calibri" w:hAnsi="Calibri"/>
        </w:rPr>
        <w:t>floorspace</w:t>
      </w:r>
      <w:proofErr w:type="spellEnd"/>
      <w:r w:rsidR="00C55250" w:rsidRPr="00C40B08">
        <w:rPr>
          <w:rFonts w:ascii="Calibri" w:hAnsi="Calibri"/>
        </w:rPr>
        <w:t xml:space="preserve"> is modeled using effective hurdle rates of</w:t>
      </w:r>
      <w:r w:rsidR="005F078D" w:rsidRPr="00C40B08">
        <w:rPr>
          <w:rFonts w:ascii="Calibri" w:hAnsi="Calibri"/>
        </w:rPr>
        <w:t xml:space="preserve"> 25% or more, and half employ </w:t>
      </w:r>
      <w:r w:rsidR="00C55250" w:rsidRPr="00C40B08">
        <w:rPr>
          <w:rFonts w:ascii="Calibri" w:hAnsi="Calibri"/>
        </w:rPr>
        <w:t>discount rate</w:t>
      </w:r>
      <w:r w:rsidR="005F078D" w:rsidRPr="00C40B08">
        <w:rPr>
          <w:rFonts w:ascii="Calibri" w:hAnsi="Calibri"/>
        </w:rPr>
        <w:t>s ranging from 100% to 1000%</w:t>
      </w:r>
      <w:r w:rsidR="00836F36" w:rsidRPr="00C40B08">
        <w:rPr>
          <w:rFonts w:ascii="Calibri" w:hAnsi="Calibri"/>
        </w:rPr>
        <w:t>, which are relatively high compared with past empirical research, causing estimates of energy-savings from demand-side policy interventions to be somewhat under-estimated</w:t>
      </w:r>
      <w:r w:rsidR="005F078D" w:rsidRPr="00C40B08">
        <w:rPr>
          <w:rFonts w:ascii="Calibri" w:hAnsi="Calibri"/>
        </w:rPr>
        <w:t xml:space="preserve"> </w:t>
      </w:r>
      <w:r w:rsidR="00C55250" w:rsidRPr="00C40B08">
        <w:rPr>
          <w:rFonts w:ascii="Calibri" w:hAnsi="Calibri"/>
        </w:rPr>
        <w:t>(Cox et al., 2013).</w:t>
      </w:r>
      <w:r w:rsidR="00BD09DD" w:rsidRPr="00C40B08">
        <w:rPr>
          <w:rFonts w:ascii="Calibri" w:hAnsi="Calibri"/>
        </w:rPr>
        <w:t xml:space="preserve"> Three different decision types and three types of behavior rules are used depending on </w:t>
      </w:r>
      <w:r w:rsidR="002C60B3" w:rsidRPr="00C40B08">
        <w:rPr>
          <w:rFonts w:ascii="Calibri" w:hAnsi="Calibri"/>
        </w:rPr>
        <w:lastRenderedPageBreak/>
        <w:t>whether the technology would be a retrofit, replacement, or new addition, and if there is a change of fuel type (Wilkerson, et al., 2013).</w:t>
      </w:r>
    </w:p>
    <w:p w14:paraId="36F26282" w14:textId="24B61017" w:rsidR="00553FF0" w:rsidRPr="00C40B08" w:rsidRDefault="00094F32" w:rsidP="000656C9">
      <w:pPr>
        <w:autoSpaceDE w:val="0"/>
        <w:autoSpaceDN w:val="0"/>
        <w:adjustRightInd w:val="0"/>
        <w:spacing w:before="100" w:beforeAutospacing="1" w:after="100" w:afterAutospacing="1" w:line="276" w:lineRule="auto"/>
        <w:rPr>
          <w:rFonts w:ascii="Calibri" w:hAnsi="Calibri"/>
        </w:rPr>
      </w:pPr>
      <w:r w:rsidRPr="00C40B08">
        <w:rPr>
          <w:rFonts w:ascii="Calibri" w:hAnsi="Calibri"/>
        </w:rPr>
        <w:t>Process energy i</w:t>
      </w:r>
      <w:r w:rsidR="006F4FBE" w:rsidRPr="00C40B08">
        <w:rPr>
          <w:rFonts w:ascii="Calibri" w:hAnsi="Calibri"/>
        </w:rPr>
        <w:t xml:space="preserve">n the </w:t>
      </w:r>
      <w:r w:rsidR="00426D60" w:rsidRPr="00C40B08">
        <w:rPr>
          <w:rFonts w:ascii="Calibri" w:hAnsi="Calibri"/>
        </w:rPr>
        <w:t>industrial module</w:t>
      </w:r>
      <w:r w:rsidRPr="00C40B08">
        <w:rPr>
          <w:rFonts w:ascii="Calibri" w:hAnsi="Calibri"/>
        </w:rPr>
        <w:t xml:space="preserve"> is modeled separately for </w:t>
      </w:r>
      <w:r w:rsidR="00A65F60" w:rsidRPr="00C40B08">
        <w:rPr>
          <w:rFonts w:ascii="Calibri" w:hAnsi="Calibri"/>
        </w:rPr>
        <w:t>16 manufacturing and 6 non-manufacturing industries,</w:t>
      </w:r>
      <w:r w:rsidRPr="00C40B08">
        <w:rPr>
          <w:rFonts w:ascii="Calibri" w:hAnsi="Calibri"/>
        </w:rPr>
        <w:t xml:space="preserve"> by fuel type. T</w:t>
      </w:r>
      <w:r w:rsidR="006F4FBE" w:rsidRPr="00C40B08">
        <w:rPr>
          <w:rFonts w:ascii="Calibri" w:eastAsia="MS Mincho" w:hAnsi="Calibri"/>
          <w:color w:val="000000"/>
          <w:kern w:val="24"/>
          <w:lang w:eastAsia="ja-JP"/>
        </w:rPr>
        <w:t>he energy use</w:t>
      </w:r>
      <w:r w:rsidR="006429B1" w:rsidRPr="00C40B08">
        <w:rPr>
          <w:rFonts w:ascii="Calibri" w:eastAsia="MS Mincho" w:hAnsi="Calibri"/>
          <w:color w:val="000000"/>
          <w:kern w:val="24"/>
          <w:lang w:eastAsia="ja-JP"/>
        </w:rPr>
        <w:t>d</w:t>
      </w:r>
      <w:r w:rsidR="006F4FBE" w:rsidRPr="00C40B08">
        <w:rPr>
          <w:rFonts w:ascii="Calibri" w:eastAsia="MS Mincho" w:hAnsi="Calibri"/>
          <w:color w:val="000000"/>
          <w:kern w:val="24"/>
          <w:lang w:eastAsia="ja-JP"/>
        </w:rPr>
        <w:t xml:space="preserve"> p</w:t>
      </w:r>
      <w:r w:rsidR="00426D60" w:rsidRPr="00C40B08">
        <w:rPr>
          <w:rFonts w:ascii="Calibri" w:eastAsia="MS Mincho" w:hAnsi="Calibri"/>
          <w:color w:val="000000"/>
          <w:kern w:val="24"/>
          <w:lang w:eastAsia="ja-JP"/>
        </w:rPr>
        <w:t>er dollar of shipments (called unit energy c</w:t>
      </w:r>
      <w:r w:rsidR="006F4FBE" w:rsidRPr="00C40B08">
        <w:rPr>
          <w:rFonts w:ascii="Calibri" w:eastAsia="MS Mincho" w:hAnsi="Calibri"/>
          <w:color w:val="000000"/>
          <w:kern w:val="24"/>
          <w:lang w:eastAsia="ja-JP"/>
        </w:rPr>
        <w:t>onsumption</w:t>
      </w:r>
      <w:r w:rsidR="00203B06" w:rsidRPr="00C40B08">
        <w:rPr>
          <w:rFonts w:ascii="Calibri" w:eastAsia="MS Mincho" w:hAnsi="Calibri"/>
          <w:color w:val="000000"/>
          <w:kern w:val="24"/>
          <w:lang w:eastAsia="ja-JP"/>
        </w:rPr>
        <w:t xml:space="preserve"> or UEC</w:t>
      </w:r>
      <w:r w:rsidR="006F4FBE" w:rsidRPr="00C40B08">
        <w:rPr>
          <w:rFonts w:ascii="Calibri" w:eastAsia="MS Mincho" w:hAnsi="Calibri"/>
          <w:color w:val="000000"/>
          <w:kern w:val="24"/>
          <w:lang w:eastAsia="ja-JP"/>
        </w:rPr>
        <w:t xml:space="preserve">) is </w:t>
      </w:r>
      <w:r w:rsidR="00203B06" w:rsidRPr="00C40B08">
        <w:rPr>
          <w:rFonts w:ascii="Calibri" w:eastAsia="MS Mincho" w:hAnsi="Calibri"/>
          <w:color w:val="000000"/>
          <w:kern w:val="24"/>
          <w:lang w:eastAsia="ja-JP"/>
        </w:rPr>
        <w:t xml:space="preserve">modeled for </w:t>
      </w:r>
      <w:r w:rsidR="00203B06" w:rsidRPr="00C40B08">
        <w:rPr>
          <w:rFonts w:ascii="Calibri" w:hAnsi="Calibri"/>
        </w:rPr>
        <w:t xml:space="preserve">individual </w:t>
      </w:r>
      <w:r w:rsidR="002C60B3" w:rsidRPr="00C40B08">
        <w:rPr>
          <w:rFonts w:ascii="Calibri" w:hAnsi="Calibri"/>
        </w:rPr>
        <w:t>industries,</w:t>
      </w:r>
      <w:r w:rsidR="00203B06" w:rsidRPr="00C40B08">
        <w:rPr>
          <w:rFonts w:ascii="Calibri" w:hAnsi="Calibri"/>
        </w:rPr>
        <w:t xml:space="preserve"> </w:t>
      </w:r>
      <w:r w:rsidR="006F4FBE" w:rsidRPr="00C40B08">
        <w:rPr>
          <w:rFonts w:ascii="Calibri" w:eastAsia="MS Mincho" w:hAnsi="Calibri"/>
          <w:color w:val="000000"/>
          <w:kern w:val="24"/>
          <w:lang w:eastAsia="ja-JP"/>
        </w:rPr>
        <w:t xml:space="preserve">based on energy use per ton </w:t>
      </w:r>
      <w:r w:rsidR="00203B06" w:rsidRPr="00C40B08">
        <w:rPr>
          <w:rFonts w:ascii="Calibri" w:eastAsia="MS Mincho" w:hAnsi="Calibri"/>
          <w:color w:val="000000"/>
          <w:kern w:val="24"/>
          <w:lang w:eastAsia="ja-JP"/>
        </w:rPr>
        <w:t>of throughput at each</w:t>
      </w:r>
      <w:r w:rsidR="006F4FBE" w:rsidRPr="00C40B08">
        <w:rPr>
          <w:rFonts w:ascii="Calibri" w:eastAsia="MS Mincho" w:hAnsi="Calibri"/>
          <w:color w:val="000000"/>
          <w:kern w:val="24"/>
          <w:lang w:eastAsia="ja-JP"/>
        </w:rPr>
        <w:t xml:space="preserve"> process step. </w:t>
      </w:r>
      <w:r w:rsidR="006429B1" w:rsidRPr="00C40B08">
        <w:rPr>
          <w:rFonts w:ascii="Calibri" w:eastAsia="MS Mincho" w:hAnsi="Calibri"/>
          <w:color w:val="000000"/>
          <w:kern w:val="24"/>
          <w:lang w:eastAsia="ja-JP"/>
        </w:rPr>
        <w:t>F</w:t>
      </w:r>
      <w:r w:rsidR="00203B06" w:rsidRPr="00C40B08">
        <w:rPr>
          <w:rFonts w:ascii="Calibri" w:hAnsi="Calibri"/>
        </w:rPr>
        <w:t>uture improvements in UEC are modeled by using Technology Possibility Curves (TPCs)</w:t>
      </w:r>
      <w:r w:rsidR="00426D60" w:rsidRPr="00C40B08">
        <w:rPr>
          <w:rFonts w:ascii="Calibri" w:hAnsi="Calibri"/>
        </w:rPr>
        <w:t xml:space="preserve">, which </w:t>
      </w:r>
      <w:r w:rsidR="00203B06" w:rsidRPr="00C40B08">
        <w:rPr>
          <w:rFonts w:ascii="Calibri" w:hAnsi="Calibri"/>
        </w:rPr>
        <w:t>reflect UEC</w:t>
      </w:r>
      <w:r w:rsidR="006429B1" w:rsidRPr="00C40B08">
        <w:rPr>
          <w:rFonts w:ascii="Calibri" w:hAnsi="Calibri"/>
        </w:rPr>
        <w:t>s</w:t>
      </w:r>
      <w:r w:rsidR="00203B06" w:rsidRPr="00C40B08">
        <w:rPr>
          <w:rFonts w:ascii="Calibri" w:hAnsi="Calibri"/>
        </w:rPr>
        <w:t xml:space="preserve"> in the initial year and annual energy intensity declines over time. </w:t>
      </w:r>
      <w:r w:rsidR="006429B1" w:rsidRPr="00C40B08">
        <w:rPr>
          <w:rFonts w:ascii="Calibri" w:hAnsi="Calibri"/>
        </w:rPr>
        <w:t>The TPC r</w:t>
      </w:r>
      <w:r w:rsidR="00203B06" w:rsidRPr="00C40B08">
        <w:rPr>
          <w:rFonts w:ascii="Calibri" w:hAnsi="Calibri"/>
        </w:rPr>
        <w:t xml:space="preserve">ates </w:t>
      </w:r>
      <w:r w:rsidRPr="00C40B08">
        <w:rPr>
          <w:rFonts w:ascii="Calibri" w:hAnsi="Calibri"/>
        </w:rPr>
        <w:t>are</w:t>
      </w:r>
      <w:r w:rsidR="00203B06" w:rsidRPr="00C40B08">
        <w:rPr>
          <w:rFonts w:ascii="Calibri" w:hAnsi="Calibri"/>
        </w:rPr>
        <w:t xml:space="preserve"> estimated </w:t>
      </w:r>
      <w:r w:rsidR="00426D60" w:rsidRPr="00C40B08">
        <w:rPr>
          <w:rFonts w:ascii="Calibri" w:hAnsi="Calibri"/>
        </w:rPr>
        <w:t xml:space="preserve">separately </w:t>
      </w:r>
      <w:r w:rsidR="00203B06" w:rsidRPr="00C40B08">
        <w:rPr>
          <w:rFonts w:ascii="Calibri" w:hAnsi="Calibri"/>
        </w:rPr>
        <w:t xml:space="preserve">for </w:t>
      </w:r>
      <w:r w:rsidR="00426D60" w:rsidRPr="00C40B08">
        <w:rPr>
          <w:rFonts w:ascii="Calibri" w:hAnsi="Calibri"/>
        </w:rPr>
        <w:t>retrofitting of existing facilities and for construction of</w:t>
      </w:r>
      <w:r w:rsidR="00203B06" w:rsidRPr="00C40B08">
        <w:rPr>
          <w:rFonts w:ascii="Calibri" w:hAnsi="Calibri"/>
        </w:rPr>
        <w:t xml:space="preserve"> new facilities.</w:t>
      </w:r>
      <w:r w:rsidR="00862446" w:rsidRPr="00C40B08">
        <w:rPr>
          <w:rFonts w:ascii="Calibri" w:eastAsia="MS Mincho" w:hAnsi="Calibri"/>
          <w:color w:val="000000"/>
          <w:kern w:val="24"/>
          <w:lang w:eastAsia="ja-JP"/>
        </w:rPr>
        <w:t xml:space="preserve"> </w:t>
      </w:r>
      <w:r w:rsidR="00CA7036" w:rsidRPr="00C40B08">
        <w:rPr>
          <w:rFonts w:ascii="Calibri" w:eastAsia="MS Mincho" w:hAnsi="Calibri"/>
          <w:color w:val="000000"/>
          <w:kern w:val="24"/>
          <w:lang w:eastAsia="ja-JP"/>
        </w:rPr>
        <w:t xml:space="preserve">The pace of improvement of TPCs in the Reference Case has been shown to underestimate the potential for cost-effective industrial energy efficiency (Brown, et al., 2014). </w:t>
      </w:r>
      <w:r w:rsidR="002C60B3" w:rsidRPr="00C40B08">
        <w:rPr>
          <w:rFonts w:ascii="Calibri" w:eastAsia="MS Mincho" w:hAnsi="Calibri"/>
          <w:color w:val="000000"/>
          <w:kern w:val="24"/>
          <w:lang w:eastAsia="ja-JP"/>
        </w:rPr>
        <w:t xml:space="preserve">The industrial module specifies cost and performance characteristics for a range of </w:t>
      </w:r>
      <w:r w:rsidR="00F04018" w:rsidRPr="00C40B08">
        <w:rPr>
          <w:rFonts w:ascii="Calibri" w:eastAsia="MS Mincho" w:hAnsi="Calibri"/>
          <w:color w:val="000000"/>
          <w:kern w:val="24"/>
          <w:lang w:eastAsia="ja-JP"/>
        </w:rPr>
        <w:t>CHP</w:t>
      </w:r>
      <w:r w:rsidR="002C60B3" w:rsidRPr="00C40B08">
        <w:rPr>
          <w:rFonts w:ascii="Calibri" w:eastAsia="MS Mincho" w:hAnsi="Calibri"/>
          <w:color w:val="000000"/>
          <w:kern w:val="24"/>
          <w:lang w:eastAsia="ja-JP"/>
        </w:rPr>
        <w:t xml:space="preserve"> and motor technologies</w:t>
      </w:r>
      <w:r w:rsidR="00836F36" w:rsidRPr="00C40B08">
        <w:rPr>
          <w:rFonts w:ascii="Calibri" w:eastAsia="MS Mincho" w:hAnsi="Calibri"/>
          <w:color w:val="000000"/>
          <w:kern w:val="24"/>
          <w:lang w:eastAsia="ja-JP"/>
        </w:rPr>
        <w:t>, allowing them to be explicitly modeled</w:t>
      </w:r>
      <w:r w:rsidR="002C60B3" w:rsidRPr="00C40B08">
        <w:rPr>
          <w:rFonts w:ascii="Calibri" w:eastAsia="MS Mincho" w:hAnsi="Calibri"/>
          <w:color w:val="000000"/>
          <w:kern w:val="24"/>
          <w:lang w:eastAsia="ja-JP"/>
        </w:rPr>
        <w:t xml:space="preserve"> (Wang and Brown, 2014).</w:t>
      </w:r>
    </w:p>
    <w:p w14:paraId="4804602A" w14:textId="0AD0466A" w:rsidR="007D349B" w:rsidRPr="00C40B08" w:rsidRDefault="00382E2D" w:rsidP="000656C9">
      <w:pPr>
        <w:spacing w:before="100" w:beforeAutospacing="1" w:after="100" w:afterAutospacing="1" w:line="276" w:lineRule="auto"/>
        <w:rPr>
          <w:rFonts w:ascii="Calibri" w:hAnsi="Calibri"/>
        </w:rPr>
      </w:pPr>
      <w:r w:rsidRPr="00C40B08">
        <w:rPr>
          <w:rFonts w:ascii="Calibri" w:hAnsi="Calibri"/>
        </w:rPr>
        <w:t>Across these modules and regions,</w:t>
      </w:r>
      <w:r w:rsidR="007D349B" w:rsidRPr="00C40B08">
        <w:rPr>
          <w:rFonts w:ascii="Calibri" w:hAnsi="Calibri"/>
        </w:rPr>
        <w:t xml:space="preserve"> </w:t>
      </w:r>
      <w:r w:rsidR="00362BE1" w:rsidRPr="00C40B08">
        <w:rPr>
          <w:rFonts w:ascii="Calibri" w:hAnsi="Calibri"/>
        </w:rPr>
        <w:t>GT-</w:t>
      </w:r>
      <w:r w:rsidR="007D349B" w:rsidRPr="00C40B08">
        <w:rPr>
          <w:rFonts w:ascii="Calibri" w:hAnsi="Calibri"/>
        </w:rPr>
        <w:t xml:space="preserve">NEMS projects the production, imports, conversion, consumption, and prices of energy, subject to assumptions about macroeconomic and financial factors, world energy markets, resource availability and costs, behavioral and technological choice criteria, cost and performance characteristics of energy technologies, and demographics (EIA 2009; 2015c). </w:t>
      </w:r>
    </w:p>
    <w:p w14:paraId="6AEA0EAF" w14:textId="7AC36C74" w:rsidR="007D349B" w:rsidRPr="00C40B08" w:rsidRDefault="003F3E0F" w:rsidP="000656C9">
      <w:pPr>
        <w:pStyle w:val="ListParagraph"/>
        <w:numPr>
          <w:ilvl w:val="1"/>
          <w:numId w:val="1"/>
        </w:numPr>
        <w:spacing w:line="276" w:lineRule="auto"/>
        <w:outlineLvl w:val="1"/>
        <w:rPr>
          <w:rFonts w:ascii="Calibri" w:hAnsi="Calibri" w:cs="Times New Roman"/>
          <w:b/>
          <w:i/>
          <w:sz w:val="24"/>
          <w:szCs w:val="24"/>
        </w:rPr>
      </w:pPr>
      <w:r w:rsidRPr="00C40B08">
        <w:rPr>
          <w:rFonts w:ascii="Calibri" w:hAnsi="Calibri" w:cs="Times New Roman"/>
          <w:b/>
          <w:i/>
          <w:sz w:val="24"/>
          <w:szCs w:val="24"/>
        </w:rPr>
        <w:t xml:space="preserve">Design of scenarios for modeling </w:t>
      </w:r>
      <w:r w:rsidR="00517C30">
        <w:rPr>
          <w:rFonts w:ascii="Calibri" w:hAnsi="Calibri" w:cs="Times New Roman"/>
          <w:b/>
          <w:i/>
          <w:sz w:val="24"/>
          <w:szCs w:val="24"/>
        </w:rPr>
        <w:t>carbon mitigation scenarios</w:t>
      </w:r>
      <w:r w:rsidRPr="00C40B08">
        <w:rPr>
          <w:rFonts w:ascii="Calibri" w:hAnsi="Calibri" w:cs="Times New Roman"/>
          <w:b/>
          <w:i/>
          <w:sz w:val="24"/>
          <w:szCs w:val="24"/>
        </w:rPr>
        <w:t xml:space="preserve"> </w:t>
      </w:r>
    </w:p>
    <w:p w14:paraId="3E875A42" w14:textId="5BCD4F61" w:rsidR="004C5405" w:rsidRPr="00C40B08" w:rsidRDefault="007D349B" w:rsidP="000656C9">
      <w:pPr>
        <w:spacing w:before="100" w:beforeAutospacing="1" w:after="100" w:afterAutospacing="1" w:line="276" w:lineRule="auto"/>
        <w:rPr>
          <w:rFonts w:ascii="Calibri" w:hAnsi="Calibri"/>
        </w:rPr>
      </w:pPr>
      <w:r w:rsidRPr="00C40B08">
        <w:rPr>
          <w:rFonts w:ascii="Calibri" w:hAnsi="Calibri"/>
        </w:rPr>
        <w:t xml:space="preserve">Our analysis of </w:t>
      </w:r>
      <w:r w:rsidR="00CE73CF" w:rsidRPr="00C40B08">
        <w:rPr>
          <w:rFonts w:ascii="Calibri" w:hAnsi="Calibri"/>
        </w:rPr>
        <w:t>CO</w:t>
      </w:r>
      <w:r w:rsidR="00CE73CF" w:rsidRPr="00C40B08">
        <w:rPr>
          <w:rFonts w:ascii="Calibri" w:hAnsi="Calibri"/>
          <w:vertAlign w:val="subscript"/>
        </w:rPr>
        <w:t>2</w:t>
      </w:r>
      <w:r w:rsidR="00CE73CF" w:rsidRPr="00C40B08">
        <w:rPr>
          <w:rFonts w:ascii="Calibri" w:hAnsi="Calibri"/>
        </w:rPr>
        <w:t xml:space="preserve"> mitigation</w:t>
      </w:r>
      <w:r w:rsidR="00AB55CA" w:rsidRPr="00C40B08">
        <w:rPr>
          <w:rFonts w:ascii="Calibri" w:hAnsi="Calibri"/>
        </w:rPr>
        <w:t xml:space="preserve"> </w:t>
      </w:r>
      <w:r w:rsidR="00062844" w:rsidRPr="00C40B08">
        <w:rPr>
          <w:rFonts w:ascii="Calibri" w:hAnsi="Calibri"/>
        </w:rPr>
        <w:t xml:space="preserve">options </w:t>
      </w:r>
      <w:r w:rsidRPr="00C40B08">
        <w:rPr>
          <w:rFonts w:ascii="Calibri" w:hAnsi="Calibri"/>
        </w:rPr>
        <w:t xml:space="preserve">begins by </w:t>
      </w:r>
      <w:r w:rsidR="0072515E" w:rsidRPr="00C40B08">
        <w:rPr>
          <w:rFonts w:ascii="Calibri" w:hAnsi="Calibri"/>
        </w:rPr>
        <w:t>modifying</w:t>
      </w:r>
      <w:r w:rsidRPr="00C40B08">
        <w:rPr>
          <w:rFonts w:ascii="Calibri" w:hAnsi="Calibri"/>
        </w:rPr>
        <w:t xml:space="preserve"> EIA’s 2015 Reference Case to </w:t>
      </w:r>
      <w:r w:rsidR="00EF4690" w:rsidRPr="00C40B08">
        <w:rPr>
          <w:rFonts w:ascii="Calibri" w:hAnsi="Calibri"/>
        </w:rPr>
        <w:t>adjust</w:t>
      </w:r>
      <w:r w:rsidRPr="00C40B08">
        <w:rPr>
          <w:rFonts w:ascii="Calibri" w:hAnsi="Calibri"/>
        </w:rPr>
        <w:t xml:space="preserve"> assumptions about various </w:t>
      </w:r>
      <w:r w:rsidR="004C5405" w:rsidRPr="00C40B08">
        <w:rPr>
          <w:rFonts w:ascii="Calibri" w:hAnsi="Calibri"/>
        </w:rPr>
        <w:t xml:space="preserve">renewable </w:t>
      </w:r>
      <w:r w:rsidRPr="00C40B08">
        <w:rPr>
          <w:rFonts w:ascii="Calibri" w:hAnsi="Calibri"/>
        </w:rPr>
        <w:t xml:space="preserve">resource costs, technology performance, and </w:t>
      </w:r>
      <w:r w:rsidR="0044590F" w:rsidRPr="00C40B08">
        <w:rPr>
          <w:rFonts w:ascii="Calibri" w:hAnsi="Calibri"/>
        </w:rPr>
        <w:t xml:space="preserve">recent </w:t>
      </w:r>
      <w:r w:rsidRPr="00C40B08">
        <w:rPr>
          <w:rFonts w:ascii="Calibri" w:hAnsi="Calibri"/>
        </w:rPr>
        <w:t>policies</w:t>
      </w:r>
      <w:r w:rsidR="004C5405" w:rsidRPr="00C40B08">
        <w:rPr>
          <w:rFonts w:ascii="Calibri" w:hAnsi="Calibri"/>
        </w:rPr>
        <w:t xml:space="preserve"> to create </w:t>
      </w:r>
      <w:r w:rsidR="00EF4690" w:rsidRPr="00C40B08">
        <w:rPr>
          <w:rFonts w:ascii="Calibri" w:hAnsi="Calibri"/>
        </w:rPr>
        <w:t>an updated</w:t>
      </w:r>
      <w:r w:rsidR="004C5405" w:rsidRPr="00C40B08">
        <w:rPr>
          <w:rFonts w:ascii="Calibri" w:hAnsi="Calibri"/>
        </w:rPr>
        <w:t xml:space="preserve"> Reference case</w:t>
      </w:r>
      <w:r w:rsidRPr="00C40B08">
        <w:rPr>
          <w:rFonts w:ascii="Calibri" w:hAnsi="Calibri"/>
        </w:rPr>
        <w:t xml:space="preserve">. </w:t>
      </w:r>
      <w:r w:rsidR="004C5405" w:rsidRPr="00C40B08">
        <w:rPr>
          <w:rFonts w:ascii="Calibri" w:hAnsi="Calibri"/>
        </w:rPr>
        <w:t xml:space="preserve">We then layer on assumptions about </w:t>
      </w:r>
      <w:r w:rsidR="00B21A39" w:rsidRPr="00C40B08">
        <w:rPr>
          <w:rFonts w:ascii="Calibri" w:hAnsi="Calibri"/>
        </w:rPr>
        <w:t>stronger</w:t>
      </w:r>
      <w:r w:rsidR="00403809" w:rsidRPr="00C40B08">
        <w:rPr>
          <w:rFonts w:ascii="Calibri" w:hAnsi="Calibri"/>
        </w:rPr>
        <w:t xml:space="preserve"> energy-</w:t>
      </w:r>
      <w:r w:rsidR="004C5405" w:rsidRPr="00C40B08">
        <w:rPr>
          <w:rFonts w:ascii="Calibri" w:hAnsi="Calibri"/>
        </w:rPr>
        <w:t xml:space="preserve">efficiency policies, creating a Reference + Energy Efficiency </w:t>
      </w:r>
      <w:r w:rsidR="00EF4690" w:rsidRPr="00C40B08">
        <w:rPr>
          <w:rFonts w:ascii="Calibri" w:hAnsi="Calibri"/>
        </w:rPr>
        <w:t xml:space="preserve">(EE) </w:t>
      </w:r>
      <w:r w:rsidR="004C5405" w:rsidRPr="00C40B08">
        <w:rPr>
          <w:rFonts w:ascii="Calibri" w:hAnsi="Calibri"/>
        </w:rPr>
        <w:t xml:space="preserve">scenario. The final </w:t>
      </w:r>
      <w:r w:rsidR="00EF4690" w:rsidRPr="00C40B08">
        <w:rPr>
          <w:rFonts w:ascii="Calibri" w:hAnsi="Calibri"/>
        </w:rPr>
        <w:t xml:space="preserve">four </w:t>
      </w:r>
      <w:r w:rsidR="004C5405" w:rsidRPr="00C40B08">
        <w:rPr>
          <w:rFonts w:ascii="Calibri" w:hAnsi="Calibri"/>
        </w:rPr>
        <w:t xml:space="preserve">scenarios involve </w:t>
      </w:r>
      <w:r w:rsidR="00EF4690" w:rsidRPr="00C40B08">
        <w:rPr>
          <w:rFonts w:ascii="Calibri" w:hAnsi="Calibri"/>
        </w:rPr>
        <w:t>two types</w:t>
      </w:r>
      <w:r w:rsidR="004C5405" w:rsidRPr="00C40B08">
        <w:rPr>
          <w:rFonts w:ascii="Calibri" w:hAnsi="Calibri"/>
        </w:rPr>
        <w:t xml:space="preserve"> of</w:t>
      </w:r>
      <w:r w:rsidR="00362BE1" w:rsidRPr="00C40B08">
        <w:rPr>
          <w:rFonts w:ascii="Calibri" w:hAnsi="Calibri"/>
        </w:rPr>
        <w:t xml:space="preserve"> </w:t>
      </w:r>
      <w:r w:rsidR="004C5405" w:rsidRPr="00C40B08">
        <w:rPr>
          <w:rFonts w:ascii="Calibri" w:hAnsi="Calibri"/>
        </w:rPr>
        <w:t>strategies</w:t>
      </w:r>
      <w:r w:rsidR="00362BE1" w:rsidRPr="00C40B08">
        <w:rPr>
          <w:rFonts w:ascii="Calibri" w:hAnsi="Calibri"/>
        </w:rPr>
        <w:t xml:space="preserve"> to comply with carbon limits</w:t>
      </w:r>
      <w:r w:rsidR="004C5405" w:rsidRPr="00C40B08">
        <w:rPr>
          <w:rFonts w:ascii="Calibri" w:hAnsi="Calibri"/>
        </w:rPr>
        <w:t xml:space="preserve"> </w:t>
      </w:r>
      <w:r w:rsidR="00EF4690" w:rsidRPr="00C40B08">
        <w:rPr>
          <w:rFonts w:ascii="Calibri" w:hAnsi="Calibri"/>
        </w:rPr>
        <w:t xml:space="preserve">(regulating either existing units or all units) </w:t>
      </w:r>
      <w:r w:rsidR="004C5405" w:rsidRPr="00C40B08">
        <w:rPr>
          <w:rFonts w:ascii="Calibri" w:hAnsi="Calibri"/>
        </w:rPr>
        <w:t xml:space="preserve">with and without the addition of </w:t>
      </w:r>
      <w:r w:rsidR="00B21A39" w:rsidRPr="00C40B08">
        <w:rPr>
          <w:rFonts w:ascii="Calibri" w:hAnsi="Calibri"/>
        </w:rPr>
        <w:t>stronger</w:t>
      </w:r>
      <w:r w:rsidR="004C5405" w:rsidRPr="00C40B08">
        <w:rPr>
          <w:rFonts w:ascii="Calibri" w:hAnsi="Calibri"/>
        </w:rPr>
        <w:t xml:space="preserve"> energy efficiency.</w:t>
      </w:r>
      <w:r w:rsidR="00EF4690" w:rsidRPr="00C40B08">
        <w:rPr>
          <w:rFonts w:ascii="Calibri" w:hAnsi="Calibri"/>
        </w:rPr>
        <w:t xml:space="preserve"> </w:t>
      </w:r>
      <w:r w:rsidR="008C06B5" w:rsidRPr="00C40B08">
        <w:rPr>
          <w:rFonts w:ascii="Calibri" w:hAnsi="Calibri"/>
        </w:rPr>
        <w:t>These are described below; see the Appendix for additional modeling details.</w:t>
      </w:r>
    </w:p>
    <w:p w14:paraId="6148EE4C" w14:textId="411A3298" w:rsidR="004C5405" w:rsidRPr="00C40B08" w:rsidRDefault="004C5405" w:rsidP="000656C9">
      <w:pPr>
        <w:spacing w:before="100" w:beforeAutospacing="1" w:after="100" w:afterAutospacing="1" w:line="276" w:lineRule="auto"/>
        <w:rPr>
          <w:rFonts w:ascii="Calibri" w:hAnsi="Calibri"/>
        </w:rPr>
      </w:pPr>
      <w:r w:rsidRPr="00C40B08">
        <w:rPr>
          <w:rFonts w:ascii="Calibri" w:hAnsi="Calibri"/>
          <w:b/>
        </w:rPr>
        <w:t>The Updated Reference Case.</w:t>
      </w:r>
      <w:r w:rsidRPr="00C40B08">
        <w:rPr>
          <w:rFonts w:ascii="Calibri" w:hAnsi="Calibri"/>
        </w:rPr>
        <w:t xml:space="preserve"> The updates to the Reference case </w:t>
      </w:r>
      <w:r w:rsidR="005F078D" w:rsidRPr="00C40B08">
        <w:rPr>
          <w:rFonts w:ascii="Calibri" w:hAnsi="Calibri"/>
        </w:rPr>
        <w:t>involved</w:t>
      </w:r>
      <w:r w:rsidRPr="00C40B08">
        <w:rPr>
          <w:rFonts w:ascii="Calibri" w:hAnsi="Calibri"/>
        </w:rPr>
        <w:t xml:space="preserve"> three steps. First, to update estimates of solar PV costs in the </w:t>
      </w:r>
      <w:r w:rsidR="00362BE1" w:rsidRPr="00C40B08">
        <w:rPr>
          <w:rFonts w:ascii="Calibri" w:hAnsi="Calibri"/>
        </w:rPr>
        <w:t>GT-</w:t>
      </w:r>
      <w:r w:rsidRPr="00C40B08">
        <w:rPr>
          <w:rFonts w:ascii="Calibri" w:hAnsi="Calibri"/>
        </w:rPr>
        <w:t>NEMS model, we reviewed a diverse range of contemporary estimates of solar PV costs</w:t>
      </w:r>
      <w:r w:rsidR="008C06B5" w:rsidRPr="00C40B08">
        <w:rPr>
          <w:rFonts w:ascii="Calibri" w:hAnsi="Calibri"/>
        </w:rPr>
        <w:t>, resulting</w:t>
      </w:r>
      <w:r w:rsidR="00B21A39" w:rsidRPr="00C40B08">
        <w:rPr>
          <w:rFonts w:ascii="Calibri" w:hAnsi="Calibri"/>
        </w:rPr>
        <w:t xml:space="preserve"> in a reduction of the trajectory of distributed </w:t>
      </w:r>
      <w:r w:rsidR="00004164" w:rsidRPr="00C40B08">
        <w:rPr>
          <w:rFonts w:ascii="Calibri" w:hAnsi="Calibri"/>
        </w:rPr>
        <w:t xml:space="preserve">solar cost assumptions. For example, the </w:t>
      </w:r>
      <w:r w:rsidR="00B12DE5" w:rsidRPr="00C40B08">
        <w:rPr>
          <w:rFonts w:ascii="Calibri" w:hAnsi="Calibri"/>
        </w:rPr>
        <w:t xml:space="preserve">updated </w:t>
      </w:r>
      <w:r w:rsidR="00004164" w:rsidRPr="00C40B08">
        <w:rPr>
          <w:rFonts w:ascii="Calibri" w:hAnsi="Calibri"/>
        </w:rPr>
        <w:t>projection for</w:t>
      </w:r>
      <w:r w:rsidR="006663FC" w:rsidRPr="00C40B08">
        <w:rPr>
          <w:rFonts w:ascii="Calibri" w:hAnsi="Calibri"/>
        </w:rPr>
        <w:t xml:space="preserve"> </w:t>
      </w:r>
      <w:r w:rsidR="00770CF0" w:rsidRPr="00C40B08">
        <w:rPr>
          <w:rFonts w:ascii="Calibri" w:hAnsi="Calibri"/>
        </w:rPr>
        <w:t xml:space="preserve">the </w:t>
      </w:r>
      <w:r w:rsidR="006663FC" w:rsidRPr="00C40B08">
        <w:rPr>
          <w:rFonts w:ascii="Calibri" w:hAnsi="Calibri"/>
        </w:rPr>
        <w:t xml:space="preserve">installed cost per Watt-dc </w:t>
      </w:r>
      <w:r w:rsidR="00A565CA" w:rsidRPr="00C40B08">
        <w:rPr>
          <w:rFonts w:ascii="Calibri" w:hAnsi="Calibri"/>
        </w:rPr>
        <w:t xml:space="preserve">of distributed </w:t>
      </w:r>
      <w:r w:rsidR="00181734" w:rsidRPr="00C40B08">
        <w:rPr>
          <w:rFonts w:ascii="Calibri" w:hAnsi="Calibri"/>
        </w:rPr>
        <w:t>commercial</w:t>
      </w:r>
      <w:r w:rsidR="00A565CA" w:rsidRPr="00C40B08">
        <w:rPr>
          <w:rFonts w:ascii="Calibri" w:hAnsi="Calibri"/>
        </w:rPr>
        <w:t xml:space="preserve"> PV </w:t>
      </w:r>
      <w:r w:rsidR="006663FC" w:rsidRPr="00C40B08">
        <w:rPr>
          <w:rFonts w:ascii="Calibri" w:hAnsi="Calibri"/>
        </w:rPr>
        <w:t xml:space="preserve">in 2030 </w:t>
      </w:r>
      <w:r w:rsidR="004A045A" w:rsidRPr="00C40B08">
        <w:rPr>
          <w:rFonts w:ascii="Calibri" w:hAnsi="Calibri"/>
        </w:rPr>
        <w:t>is</w:t>
      </w:r>
      <w:r w:rsidR="00880947" w:rsidRPr="00C40B08">
        <w:rPr>
          <w:rFonts w:ascii="Calibri" w:hAnsi="Calibri"/>
        </w:rPr>
        <w:t xml:space="preserve"> </w:t>
      </w:r>
      <w:r w:rsidR="00D15B52" w:rsidRPr="00C40B08">
        <w:rPr>
          <w:rFonts w:ascii="Calibri" w:hAnsi="Calibri"/>
        </w:rPr>
        <w:t>$1.65</w:t>
      </w:r>
      <w:r w:rsidR="0034122A" w:rsidRPr="00C40B08">
        <w:rPr>
          <w:rFonts w:ascii="Calibri" w:hAnsi="Calibri"/>
        </w:rPr>
        <w:t xml:space="preserve"> (in $2009)</w:t>
      </w:r>
      <w:r w:rsidR="00D15B52" w:rsidRPr="00C40B08">
        <w:rPr>
          <w:rFonts w:ascii="Calibri" w:hAnsi="Calibri"/>
        </w:rPr>
        <w:t>, 26</w:t>
      </w:r>
      <w:r w:rsidR="008B3ADC" w:rsidRPr="00C40B08">
        <w:rPr>
          <w:rFonts w:ascii="Calibri" w:hAnsi="Calibri"/>
        </w:rPr>
        <w:t xml:space="preserve">% less than the </w:t>
      </w:r>
      <w:r w:rsidR="00D35686" w:rsidRPr="00C40B08">
        <w:rPr>
          <w:rFonts w:ascii="Calibri" w:hAnsi="Calibri"/>
        </w:rPr>
        <w:t>US EIA</w:t>
      </w:r>
      <w:r w:rsidR="00F205CE" w:rsidRPr="00C40B08">
        <w:rPr>
          <w:rFonts w:ascii="Calibri" w:hAnsi="Calibri"/>
        </w:rPr>
        <w:t xml:space="preserve"> (</w:t>
      </w:r>
      <w:r w:rsidR="00E61E0E" w:rsidRPr="00C40B08">
        <w:rPr>
          <w:rFonts w:ascii="Calibri" w:hAnsi="Calibri"/>
        </w:rPr>
        <w:t>2015</w:t>
      </w:r>
      <w:r w:rsidR="00F205CE" w:rsidRPr="00C40B08">
        <w:rPr>
          <w:rFonts w:ascii="Calibri" w:hAnsi="Calibri"/>
        </w:rPr>
        <w:t>a)</w:t>
      </w:r>
      <w:r w:rsidR="00E61E0E" w:rsidRPr="00C40B08">
        <w:rPr>
          <w:rFonts w:ascii="Calibri" w:hAnsi="Calibri"/>
        </w:rPr>
        <w:t xml:space="preserve"> Reference case. For </w:t>
      </w:r>
      <w:r w:rsidR="00774CF6" w:rsidRPr="00C40B08">
        <w:rPr>
          <w:rFonts w:ascii="Calibri" w:hAnsi="Calibri"/>
        </w:rPr>
        <w:t>distributed residential PV in 2030</w:t>
      </w:r>
      <w:r w:rsidR="00403809" w:rsidRPr="00C40B08">
        <w:rPr>
          <w:rFonts w:ascii="Calibri" w:hAnsi="Calibri"/>
        </w:rPr>
        <w:t>, t</w:t>
      </w:r>
      <w:r w:rsidR="00A044FB" w:rsidRPr="00C40B08">
        <w:rPr>
          <w:rFonts w:ascii="Calibri" w:hAnsi="Calibri"/>
        </w:rPr>
        <w:t>he updated cost</w:t>
      </w:r>
      <w:r w:rsidR="00774CF6" w:rsidRPr="00C40B08">
        <w:rPr>
          <w:rFonts w:ascii="Calibri" w:hAnsi="Calibri"/>
        </w:rPr>
        <w:t xml:space="preserve"> </w:t>
      </w:r>
      <w:r w:rsidR="004A045A" w:rsidRPr="00C40B08">
        <w:rPr>
          <w:rFonts w:ascii="Calibri" w:hAnsi="Calibri"/>
        </w:rPr>
        <w:t>is</w:t>
      </w:r>
      <w:r w:rsidR="005E3BF7" w:rsidRPr="00C40B08">
        <w:rPr>
          <w:rFonts w:ascii="Calibri" w:hAnsi="Calibri"/>
        </w:rPr>
        <w:t xml:space="preserve"> </w:t>
      </w:r>
      <w:r w:rsidR="00E3483B" w:rsidRPr="00C40B08">
        <w:rPr>
          <w:rFonts w:ascii="Calibri" w:hAnsi="Calibri"/>
        </w:rPr>
        <w:t xml:space="preserve">$2.19 </w:t>
      </w:r>
      <w:r w:rsidR="00520F6B" w:rsidRPr="00C40B08">
        <w:rPr>
          <w:rFonts w:ascii="Calibri" w:hAnsi="Calibri"/>
        </w:rPr>
        <w:t xml:space="preserve">per Watt-dc </w:t>
      </w:r>
      <w:r w:rsidR="00E3483B" w:rsidRPr="00C40B08">
        <w:rPr>
          <w:rFonts w:ascii="Calibri" w:hAnsi="Calibri"/>
        </w:rPr>
        <w:t xml:space="preserve">(in $2009), 19% less than the </w:t>
      </w:r>
      <w:r w:rsidR="00D35686" w:rsidRPr="00C40B08">
        <w:rPr>
          <w:rFonts w:ascii="Calibri" w:hAnsi="Calibri"/>
        </w:rPr>
        <w:t>US EIA</w:t>
      </w:r>
      <w:r w:rsidR="00FA11DD" w:rsidRPr="00C40B08">
        <w:rPr>
          <w:rFonts w:ascii="Calibri" w:hAnsi="Calibri"/>
        </w:rPr>
        <w:t xml:space="preserve"> (2015a) </w:t>
      </w:r>
      <w:r w:rsidR="00E3483B" w:rsidRPr="00C40B08">
        <w:rPr>
          <w:rFonts w:ascii="Calibri" w:hAnsi="Calibri"/>
        </w:rPr>
        <w:t>Reference case.</w:t>
      </w:r>
    </w:p>
    <w:p w14:paraId="45EAB53F" w14:textId="032B3295" w:rsidR="004C5405" w:rsidRPr="00C40B08" w:rsidRDefault="004C5405" w:rsidP="000656C9">
      <w:pPr>
        <w:spacing w:before="100" w:beforeAutospacing="1" w:after="100" w:afterAutospacing="1" w:line="276" w:lineRule="auto"/>
        <w:rPr>
          <w:rFonts w:ascii="Calibri" w:hAnsi="Calibri"/>
        </w:rPr>
      </w:pPr>
      <w:r w:rsidRPr="00C40B08">
        <w:rPr>
          <w:rFonts w:ascii="Calibri" w:hAnsi="Calibri"/>
        </w:rPr>
        <w:lastRenderedPageBreak/>
        <w:t xml:space="preserve">Second, we model the extensions of the wind production tax credit (PTC) and the solar investment tax credit (ITC) that were implemented by the </w:t>
      </w:r>
      <w:r w:rsidR="00FA11DD" w:rsidRPr="00C40B08">
        <w:rPr>
          <w:rFonts w:ascii="Calibri" w:hAnsi="Calibri"/>
        </w:rPr>
        <w:t xml:space="preserve">U.S. </w:t>
      </w:r>
      <w:r w:rsidRPr="00C40B08">
        <w:rPr>
          <w:rFonts w:ascii="Calibri" w:hAnsi="Calibri"/>
        </w:rPr>
        <w:t>Consolidated Appropriations Act in 2015.</w:t>
      </w:r>
      <w:r w:rsidRPr="00C40B08">
        <w:rPr>
          <w:rStyle w:val="FootnoteReference"/>
          <w:rFonts w:ascii="Calibri" w:hAnsi="Calibri"/>
        </w:rPr>
        <w:footnoteReference w:id="3"/>
      </w:r>
      <w:r w:rsidRPr="00C40B08">
        <w:rPr>
          <w:rFonts w:ascii="Calibri" w:hAnsi="Calibri"/>
        </w:rPr>
        <w:t xml:space="preserve"> The PTC provide</w:t>
      </w:r>
      <w:r w:rsidR="00FA11DD" w:rsidRPr="00C40B08">
        <w:rPr>
          <w:rFonts w:ascii="Calibri" w:hAnsi="Calibri"/>
        </w:rPr>
        <w:t>d</w:t>
      </w:r>
      <w:r w:rsidRPr="00C40B08">
        <w:rPr>
          <w:rFonts w:ascii="Calibri" w:hAnsi="Calibri"/>
        </w:rPr>
        <w:t xml:space="preserve"> a 2.3 cent per kWh tax credit for the first 10 year of production for plants that are under construction by the end of 2016. </w:t>
      </w:r>
      <w:r w:rsidR="00FA11DD" w:rsidRPr="00C40B08">
        <w:rPr>
          <w:rFonts w:ascii="Calibri" w:hAnsi="Calibri"/>
        </w:rPr>
        <w:t>It</w:t>
      </w:r>
      <w:r w:rsidRPr="00C40B08">
        <w:rPr>
          <w:rFonts w:ascii="Calibri" w:hAnsi="Calibri"/>
        </w:rPr>
        <w:t xml:space="preserve"> was extended for five years, but the value of the credits decline over the 5-year period. The ITC provides a 30% tax credit for the cost of developing solar energy projects through 2019, when the credit declines incrementally until 2022, when it expires for residential projects and drops to 10% for utility and commercially operated solar projects.</w:t>
      </w:r>
    </w:p>
    <w:p w14:paraId="58381158" w14:textId="6E6FC635" w:rsidR="004C5405" w:rsidRPr="00C40B08" w:rsidRDefault="004C5405" w:rsidP="000656C9">
      <w:pPr>
        <w:pStyle w:val="Default"/>
        <w:spacing w:before="100" w:beforeAutospacing="1" w:after="100" w:afterAutospacing="1" w:line="276" w:lineRule="auto"/>
        <w:jc w:val="left"/>
        <w:rPr>
          <w:rFonts w:ascii="Calibri" w:hAnsi="Calibri"/>
          <w:color w:val="000000"/>
        </w:rPr>
      </w:pPr>
      <w:r w:rsidRPr="00C40B08">
        <w:rPr>
          <w:rFonts w:ascii="Calibri" w:hAnsi="Calibri"/>
        </w:rPr>
        <w:t>Third, to reflect the</w:t>
      </w:r>
      <w:r w:rsidR="00FA11DD" w:rsidRPr="00C40B08">
        <w:rPr>
          <w:rFonts w:ascii="Calibri" w:hAnsi="Calibri"/>
        </w:rPr>
        <w:t xml:space="preserve"> design details of the Clean Energy Incentive Program (CEIP) (81 FR 42940, June 30, 2016), </w:t>
      </w:r>
      <w:r w:rsidRPr="00C40B08">
        <w:rPr>
          <w:rFonts w:ascii="Calibri" w:hAnsi="Calibri"/>
        </w:rPr>
        <w:t xml:space="preserve">we further adjust the solar and wind energy cost assumptions by granting emissions allowances to solar and wind projects that provide energy to the grid in 2020 and 2021. We also slow the rate of decline in the ITC for solar energy and the PTC for wind. Whereas the ITC for solar is currently set to be 26% in 2020 and 22% in 2021, we maintain an ITC of 30% in 2020 and 2021 to reflect the economic advantages to solar under </w:t>
      </w:r>
      <w:proofErr w:type="gramStart"/>
      <w:r w:rsidRPr="00C40B08">
        <w:rPr>
          <w:rFonts w:ascii="Calibri" w:hAnsi="Calibri"/>
        </w:rPr>
        <w:t>the  CEIP</w:t>
      </w:r>
      <w:proofErr w:type="gramEnd"/>
      <w:r w:rsidRPr="00C40B08">
        <w:rPr>
          <w:rFonts w:ascii="Calibri" w:hAnsi="Calibri"/>
        </w:rPr>
        <w:t xml:space="preserve">. Similarly, we model a PTC during 2019, 2020, and 2021 that is 60% of the 2016 PTC value to reflect the economic advantages to wind energy under the CEIP. </w:t>
      </w:r>
    </w:p>
    <w:p w14:paraId="4683B6C9" w14:textId="63B3A8AA" w:rsidR="007D349B" w:rsidRPr="00C40B08" w:rsidRDefault="00B21A39" w:rsidP="000656C9">
      <w:pPr>
        <w:spacing w:before="100" w:beforeAutospacing="1" w:after="100" w:afterAutospacing="1" w:line="276" w:lineRule="auto"/>
        <w:rPr>
          <w:rFonts w:ascii="Calibri" w:hAnsi="Calibri"/>
        </w:rPr>
      </w:pPr>
      <w:r w:rsidRPr="00C40B08">
        <w:rPr>
          <w:rFonts w:ascii="Calibri" w:hAnsi="Calibri"/>
          <w:b/>
        </w:rPr>
        <w:t>Stronger</w:t>
      </w:r>
      <w:r w:rsidR="004C5405" w:rsidRPr="00C40B08">
        <w:rPr>
          <w:rFonts w:ascii="Calibri" w:hAnsi="Calibri"/>
          <w:b/>
        </w:rPr>
        <w:t xml:space="preserve"> Energy Efficiency.</w:t>
      </w:r>
      <w:r w:rsidR="00C54F1D" w:rsidRPr="00C40B08">
        <w:rPr>
          <w:rFonts w:ascii="Calibri" w:hAnsi="Calibri"/>
          <w:b/>
        </w:rPr>
        <w:t xml:space="preserve"> </w:t>
      </w:r>
      <w:r w:rsidR="003D46CC" w:rsidRPr="00C40B08">
        <w:rPr>
          <w:rFonts w:ascii="Calibri" w:hAnsi="Calibri"/>
        </w:rPr>
        <w:t xml:space="preserve">In the residential sector, we strengthen the representation of equipment and appliance standards in </w:t>
      </w:r>
      <w:r w:rsidR="0044590F" w:rsidRPr="00C40B08">
        <w:rPr>
          <w:rFonts w:ascii="Calibri" w:hAnsi="Calibri"/>
        </w:rPr>
        <w:t>GT-</w:t>
      </w:r>
      <w:r w:rsidR="003D46CC" w:rsidRPr="00C40B08">
        <w:rPr>
          <w:rFonts w:ascii="Calibri" w:hAnsi="Calibri"/>
        </w:rPr>
        <w:t xml:space="preserve">NEMS in several targeted areas. </w:t>
      </w:r>
      <w:r w:rsidR="00C54F1D" w:rsidRPr="00C40B08">
        <w:rPr>
          <w:rFonts w:ascii="Calibri" w:hAnsi="Calibri"/>
        </w:rPr>
        <w:t xml:space="preserve">The 2015 </w:t>
      </w:r>
      <w:r w:rsidR="00A97DEA" w:rsidRPr="00C40B08">
        <w:rPr>
          <w:rFonts w:ascii="Calibri" w:hAnsi="Calibri"/>
        </w:rPr>
        <w:t>GT-</w:t>
      </w:r>
      <w:r w:rsidR="00C54F1D" w:rsidRPr="00C40B08">
        <w:rPr>
          <w:rFonts w:ascii="Calibri" w:hAnsi="Calibri"/>
        </w:rPr>
        <w:t>NEMS</w:t>
      </w:r>
      <w:r w:rsidR="003B0532" w:rsidRPr="00C40B08">
        <w:rPr>
          <w:rFonts w:ascii="Calibri" w:hAnsi="Calibri"/>
        </w:rPr>
        <w:t xml:space="preserve"> reference case</w:t>
      </w:r>
      <w:r w:rsidR="00C54F1D" w:rsidRPr="00C40B08">
        <w:rPr>
          <w:rFonts w:ascii="Calibri" w:hAnsi="Calibri"/>
        </w:rPr>
        <w:t xml:space="preserve"> updated </w:t>
      </w:r>
      <w:r w:rsidR="0044590F" w:rsidRPr="00C40B08">
        <w:rPr>
          <w:rFonts w:ascii="Calibri" w:hAnsi="Calibri"/>
        </w:rPr>
        <w:t xml:space="preserve">the </w:t>
      </w:r>
      <w:r w:rsidR="00930C8C" w:rsidRPr="00C40B08">
        <w:rPr>
          <w:rFonts w:ascii="Calibri" w:hAnsi="Calibri"/>
        </w:rPr>
        <w:t xml:space="preserve">cost and efficiency </w:t>
      </w:r>
      <w:r w:rsidR="00DA499C" w:rsidRPr="00C40B08">
        <w:rPr>
          <w:rFonts w:ascii="Calibri" w:hAnsi="Calibri"/>
        </w:rPr>
        <w:t>of residential and commercial appliance</w:t>
      </w:r>
      <w:r w:rsidR="00996116" w:rsidRPr="00C40B08">
        <w:rPr>
          <w:rFonts w:ascii="Calibri" w:hAnsi="Calibri"/>
        </w:rPr>
        <w:t>s</w:t>
      </w:r>
      <w:r w:rsidR="00DA499C" w:rsidRPr="00C40B08">
        <w:rPr>
          <w:rFonts w:ascii="Calibri" w:hAnsi="Calibri"/>
        </w:rPr>
        <w:t xml:space="preserve"> and equipment</w:t>
      </w:r>
      <w:r w:rsidR="003B0532" w:rsidRPr="00C40B08">
        <w:rPr>
          <w:rFonts w:ascii="Calibri" w:hAnsi="Calibri"/>
        </w:rPr>
        <w:t xml:space="preserve"> based on Navigant’s Technology Forecast Updates</w:t>
      </w:r>
      <w:r w:rsidR="00DA499C" w:rsidRPr="00C40B08">
        <w:rPr>
          <w:rFonts w:ascii="Calibri" w:hAnsi="Calibri"/>
        </w:rPr>
        <w:t xml:space="preserve"> </w:t>
      </w:r>
      <w:r w:rsidR="00930C8C" w:rsidRPr="00C40B08">
        <w:rPr>
          <w:rFonts w:ascii="Calibri" w:hAnsi="Calibri"/>
        </w:rPr>
        <w:t>(</w:t>
      </w:r>
      <w:r w:rsidR="00D35686" w:rsidRPr="00C40B08">
        <w:rPr>
          <w:rFonts w:ascii="Calibri" w:hAnsi="Calibri"/>
        </w:rPr>
        <w:t>US EIA</w:t>
      </w:r>
      <w:r w:rsidR="00930C8C" w:rsidRPr="00C40B08">
        <w:rPr>
          <w:rFonts w:ascii="Calibri" w:hAnsi="Calibri"/>
        </w:rPr>
        <w:t>, 2015</w:t>
      </w:r>
      <w:r w:rsidR="00C81C6B" w:rsidRPr="00C40B08">
        <w:rPr>
          <w:rFonts w:ascii="Calibri" w:hAnsi="Calibri"/>
        </w:rPr>
        <w:t>d</w:t>
      </w:r>
      <w:r w:rsidR="00930C8C" w:rsidRPr="00C40B08">
        <w:rPr>
          <w:rFonts w:ascii="Calibri" w:hAnsi="Calibri"/>
        </w:rPr>
        <w:t>). The</w:t>
      </w:r>
      <w:r w:rsidR="003B0532" w:rsidRPr="00C40B08">
        <w:rPr>
          <w:rFonts w:ascii="Calibri" w:hAnsi="Calibri"/>
        </w:rPr>
        <w:t xml:space="preserve"> update</w:t>
      </w:r>
      <w:r w:rsidR="00FA3475" w:rsidRPr="00C40B08">
        <w:rPr>
          <w:rFonts w:ascii="Calibri" w:hAnsi="Calibri"/>
        </w:rPr>
        <w:t>d costs and efficiency</w:t>
      </w:r>
      <w:r w:rsidR="003B0532" w:rsidRPr="00C40B08">
        <w:rPr>
          <w:rFonts w:ascii="Calibri" w:hAnsi="Calibri"/>
        </w:rPr>
        <w:t xml:space="preserve"> are embedded in</w:t>
      </w:r>
      <w:r w:rsidR="00930C8C" w:rsidRPr="00C40B08">
        <w:rPr>
          <w:rFonts w:ascii="Calibri" w:hAnsi="Calibri"/>
        </w:rPr>
        <w:t xml:space="preserve"> model input files</w:t>
      </w:r>
      <w:r w:rsidR="00FA3475" w:rsidRPr="00C40B08">
        <w:rPr>
          <w:rFonts w:ascii="Calibri" w:hAnsi="Calibri"/>
        </w:rPr>
        <w:t xml:space="preserve"> by fuel, by available year, and by service technology</w:t>
      </w:r>
      <w:r w:rsidR="001F183A" w:rsidRPr="00C40B08">
        <w:rPr>
          <w:rFonts w:ascii="Calibri" w:hAnsi="Calibri"/>
        </w:rPr>
        <w:t xml:space="preserve">. </w:t>
      </w:r>
      <w:r w:rsidR="003B0532" w:rsidRPr="00C40B08">
        <w:rPr>
          <w:rFonts w:ascii="Calibri" w:hAnsi="Calibri"/>
        </w:rPr>
        <w:t>In 2014, EIA</w:t>
      </w:r>
      <w:r w:rsidR="00C81C6B" w:rsidRPr="00C40B08">
        <w:rPr>
          <w:rFonts w:ascii="Calibri" w:hAnsi="Calibri"/>
        </w:rPr>
        <w:t xml:space="preserve"> </w:t>
      </w:r>
      <w:r w:rsidR="00FA3475" w:rsidRPr="00C40B08">
        <w:rPr>
          <w:rFonts w:ascii="Calibri" w:hAnsi="Calibri"/>
        </w:rPr>
        <w:t xml:space="preserve">modeled High Demand Technology side cases that </w:t>
      </w:r>
      <w:r w:rsidR="003D46CC" w:rsidRPr="00C40B08">
        <w:rPr>
          <w:rFonts w:ascii="Calibri" w:hAnsi="Calibri"/>
        </w:rPr>
        <w:t xml:space="preserve">are based on </w:t>
      </w:r>
      <w:r w:rsidR="00FA3475" w:rsidRPr="00C40B08">
        <w:rPr>
          <w:rFonts w:ascii="Calibri" w:hAnsi="Calibri"/>
        </w:rPr>
        <w:t xml:space="preserve">advanced end-use equipment assumptions, </w:t>
      </w:r>
      <w:r w:rsidR="003D46CC" w:rsidRPr="00C40B08">
        <w:rPr>
          <w:rFonts w:ascii="Calibri" w:hAnsi="Calibri"/>
        </w:rPr>
        <w:t xml:space="preserve">being </w:t>
      </w:r>
      <w:r w:rsidR="00FA3475" w:rsidRPr="00C40B08">
        <w:rPr>
          <w:rFonts w:ascii="Calibri" w:hAnsi="Calibri"/>
        </w:rPr>
        <w:t xml:space="preserve">available earlier at higher efficiency and/or at lower costs. We developed our own assumptions to implicate the stronger energy efficiency policy scenario. </w:t>
      </w:r>
      <w:r w:rsidR="003D46CC" w:rsidRPr="00C40B08">
        <w:rPr>
          <w:rFonts w:ascii="Calibri" w:hAnsi="Calibri"/>
        </w:rPr>
        <w:t>For example, we followed EIA’s 2015 updated assumption in the baseline year (i.</w:t>
      </w:r>
      <w:r w:rsidR="00A97DEA" w:rsidRPr="00C40B08">
        <w:rPr>
          <w:rFonts w:ascii="Calibri" w:hAnsi="Calibri"/>
        </w:rPr>
        <w:t>e</w:t>
      </w:r>
      <w:r w:rsidR="003D46CC" w:rsidRPr="00C40B08">
        <w:rPr>
          <w:rFonts w:ascii="Calibri" w:hAnsi="Calibri"/>
        </w:rPr>
        <w:t>.</w:t>
      </w:r>
      <w:r w:rsidR="00A97DEA" w:rsidRPr="00C40B08">
        <w:rPr>
          <w:rFonts w:ascii="Calibri" w:hAnsi="Calibri"/>
        </w:rPr>
        <w:t>,</w:t>
      </w:r>
      <w:r w:rsidR="003D46CC" w:rsidRPr="00C40B08">
        <w:rPr>
          <w:rFonts w:ascii="Calibri" w:hAnsi="Calibri"/>
        </w:rPr>
        <w:t xml:space="preserve"> a year of 2010) if the baseline efficiency exceed</w:t>
      </w:r>
      <w:r w:rsidR="00A97DEA" w:rsidRPr="00C40B08">
        <w:rPr>
          <w:rFonts w:ascii="Calibri" w:hAnsi="Calibri"/>
        </w:rPr>
        <w:t>ed</w:t>
      </w:r>
      <w:r w:rsidR="003D46CC" w:rsidRPr="00C40B08">
        <w:rPr>
          <w:rFonts w:ascii="Calibri" w:hAnsi="Calibri"/>
        </w:rPr>
        <w:t xml:space="preserve"> the 2014 High</w:t>
      </w:r>
      <w:r w:rsidR="001F183A" w:rsidRPr="00C40B08">
        <w:rPr>
          <w:rFonts w:ascii="Calibri" w:hAnsi="Calibri"/>
        </w:rPr>
        <w:t xml:space="preserve"> </w:t>
      </w:r>
      <w:r w:rsidR="003D46CC" w:rsidRPr="00C40B08">
        <w:rPr>
          <w:rFonts w:ascii="Calibri" w:hAnsi="Calibri"/>
        </w:rPr>
        <w:t>Tech case forecasts or the costs are lower than the High</w:t>
      </w:r>
      <w:r w:rsidR="00A97DEA" w:rsidRPr="00C40B08">
        <w:rPr>
          <w:rFonts w:ascii="Calibri" w:hAnsi="Calibri"/>
        </w:rPr>
        <w:t xml:space="preserve"> </w:t>
      </w:r>
      <w:r w:rsidR="003D46CC" w:rsidRPr="00C40B08">
        <w:rPr>
          <w:rFonts w:ascii="Calibri" w:hAnsi="Calibri"/>
        </w:rPr>
        <w:t xml:space="preserve">Tech case. </w:t>
      </w:r>
      <w:r w:rsidR="00A97DEA" w:rsidRPr="00C40B08">
        <w:rPr>
          <w:rFonts w:ascii="Calibri" w:hAnsi="Calibri"/>
        </w:rPr>
        <w:t>S</w:t>
      </w:r>
      <w:r w:rsidR="007D349B" w:rsidRPr="00C40B08">
        <w:rPr>
          <w:rFonts w:ascii="Calibri" w:hAnsi="Calibri"/>
        </w:rPr>
        <w:t xml:space="preserve">ignificant improvements in appliance standards are </w:t>
      </w:r>
      <w:r w:rsidR="00A97DEA" w:rsidRPr="00C40B08">
        <w:rPr>
          <w:rFonts w:ascii="Calibri" w:hAnsi="Calibri"/>
        </w:rPr>
        <w:t xml:space="preserve">thereby </w:t>
      </w:r>
      <w:r w:rsidR="007D349B" w:rsidRPr="00C40B08">
        <w:rPr>
          <w:rFonts w:ascii="Calibri" w:hAnsi="Calibri"/>
        </w:rPr>
        <w:t>modeled for room air conditioners as well as refrigerators and freezers</w:t>
      </w:r>
      <w:r w:rsidR="001F183A" w:rsidRPr="00C40B08">
        <w:rPr>
          <w:rFonts w:ascii="Calibri" w:hAnsi="Calibri"/>
        </w:rPr>
        <w:t xml:space="preserve">. </w:t>
      </w:r>
      <w:r w:rsidR="009D0E26" w:rsidRPr="00C40B08">
        <w:rPr>
          <w:rFonts w:ascii="Calibri" w:hAnsi="Calibri"/>
        </w:rPr>
        <w:t xml:space="preserve">We use the </w:t>
      </w:r>
      <w:r w:rsidR="00D35686" w:rsidRPr="00C40B08">
        <w:rPr>
          <w:rFonts w:ascii="Calibri" w:hAnsi="Calibri"/>
        </w:rPr>
        <w:t>US EIA</w:t>
      </w:r>
      <w:r w:rsidR="00A97DEA" w:rsidRPr="00C40B08">
        <w:rPr>
          <w:rFonts w:ascii="Calibri" w:hAnsi="Calibri"/>
        </w:rPr>
        <w:t xml:space="preserve"> (</w:t>
      </w:r>
      <w:r w:rsidR="009D0E26" w:rsidRPr="00C40B08">
        <w:rPr>
          <w:rFonts w:ascii="Calibri" w:hAnsi="Calibri"/>
        </w:rPr>
        <w:t>2015</w:t>
      </w:r>
      <w:r w:rsidR="00A97DEA" w:rsidRPr="00C40B08">
        <w:rPr>
          <w:rFonts w:ascii="Calibri" w:hAnsi="Calibri"/>
        </w:rPr>
        <w:t>a)</w:t>
      </w:r>
      <w:r w:rsidR="009D0E26" w:rsidRPr="00C40B08">
        <w:rPr>
          <w:rFonts w:ascii="Calibri" w:hAnsi="Calibri"/>
        </w:rPr>
        <w:t xml:space="preserve"> </w:t>
      </w:r>
      <w:r w:rsidR="00892612" w:rsidRPr="00C40B08">
        <w:rPr>
          <w:rFonts w:ascii="Calibri" w:hAnsi="Calibri"/>
        </w:rPr>
        <w:t>updated technology assumptions</w:t>
      </w:r>
      <w:r w:rsidR="00D027D7" w:rsidRPr="00C40B08">
        <w:rPr>
          <w:rFonts w:ascii="Calibri" w:hAnsi="Calibri"/>
        </w:rPr>
        <w:t xml:space="preserve"> </w:t>
      </w:r>
      <w:r w:rsidR="00892612" w:rsidRPr="00C40B08">
        <w:rPr>
          <w:rFonts w:ascii="Calibri" w:hAnsi="Calibri"/>
        </w:rPr>
        <w:t>for geothermal heat pumps, electric water heaters, dishwashers, and gas and electric clothes dryers</w:t>
      </w:r>
      <w:r w:rsidR="001F183A" w:rsidRPr="00C40B08">
        <w:rPr>
          <w:rFonts w:ascii="Calibri" w:hAnsi="Calibri"/>
        </w:rPr>
        <w:t xml:space="preserve">. </w:t>
      </w:r>
      <w:r w:rsidR="007D349B" w:rsidRPr="00C40B08">
        <w:rPr>
          <w:rFonts w:ascii="Calibri" w:hAnsi="Calibri"/>
        </w:rPr>
        <w:t>For lighting</w:t>
      </w:r>
      <w:r w:rsidR="00B30363" w:rsidRPr="00C40B08">
        <w:rPr>
          <w:rFonts w:ascii="Calibri" w:hAnsi="Calibri"/>
        </w:rPr>
        <w:t>,</w:t>
      </w:r>
      <w:r w:rsidR="007D349B" w:rsidRPr="00C40B08">
        <w:rPr>
          <w:rFonts w:ascii="Calibri" w:hAnsi="Calibri"/>
        </w:rPr>
        <w:t xml:space="preserve"> we apply the High Tech side case assumptions for costs and efficiency, improving bulb type LEDs, reflector LEDs, linear fluorescent </w:t>
      </w:r>
      <w:r w:rsidR="00B00349" w:rsidRPr="00C40B08">
        <w:rPr>
          <w:rFonts w:ascii="Calibri" w:hAnsi="Calibri"/>
        </w:rPr>
        <w:t>lamp</w:t>
      </w:r>
      <w:r w:rsidR="007D349B" w:rsidRPr="00C40B08">
        <w:rPr>
          <w:rFonts w:ascii="Calibri" w:hAnsi="Calibri"/>
        </w:rPr>
        <w:t>s and LEDs, and LED torchieres</w:t>
      </w:r>
      <w:r w:rsidR="001F183A" w:rsidRPr="00C40B08">
        <w:rPr>
          <w:rFonts w:ascii="Calibri" w:hAnsi="Calibri"/>
        </w:rPr>
        <w:t xml:space="preserve">. </w:t>
      </w:r>
      <w:r w:rsidR="007D349B" w:rsidRPr="00C40B08">
        <w:rPr>
          <w:rFonts w:ascii="Calibri" w:hAnsi="Calibri"/>
        </w:rPr>
        <w:t>Miscellaneous electric uses are also made more efficient by adopting the High Tech side case assumptions upgrading the efficiency of home theater systems, ceiling fans, coffee makers, and dehumidifiers</w:t>
      </w:r>
      <w:r w:rsidR="001F183A" w:rsidRPr="00C40B08">
        <w:rPr>
          <w:rFonts w:ascii="Calibri" w:hAnsi="Calibri"/>
        </w:rPr>
        <w:t xml:space="preserve">. </w:t>
      </w:r>
      <w:r w:rsidR="00CB6F41" w:rsidRPr="00C40B08">
        <w:rPr>
          <w:rFonts w:ascii="Calibri" w:hAnsi="Calibri"/>
        </w:rPr>
        <w:t>Each</w:t>
      </w:r>
      <w:r w:rsidR="006232FA" w:rsidRPr="00C40B08">
        <w:rPr>
          <w:rFonts w:ascii="Calibri" w:hAnsi="Calibri"/>
        </w:rPr>
        <w:t xml:space="preserve"> of these same efficiency improvements </w:t>
      </w:r>
      <w:r w:rsidR="00CB6F41" w:rsidRPr="00C40B08">
        <w:rPr>
          <w:rFonts w:ascii="Calibri" w:hAnsi="Calibri"/>
        </w:rPr>
        <w:t>is</w:t>
      </w:r>
      <w:r w:rsidR="006232FA" w:rsidRPr="00C40B08">
        <w:rPr>
          <w:rFonts w:ascii="Calibri" w:hAnsi="Calibri"/>
        </w:rPr>
        <w:t xml:space="preserve"> modeled by </w:t>
      </w:r>
      <w:proofErr w:type="spellStart"/>
      <w:r w:rsidR="00CB6F41" w:rsidRPr="00C40B08">
        <w:rPr>
          <w:rFonts w:ascii="Calibri" w:hAnsi="Calibri"/>
        </w:rPr>
        <w:t>Hausker</w:t>
      </w:r>
      <w:proofErr w:type="spellEnd"/>
      <w:r w:rsidR="00CB6F41" w:rsidRPr="00C40B08">
        <w:rPr>
          <w:rFonts w:ascii="Calibri" w:hAnsi="Calibri"/>
        </w:rPr>
        <w:t xml:space="preserve"> et al. (2014), Wang and Brown (2014</w:t>
      </w:r>
      <w:r w:rsidR="006232FA" w:rsidRPr="00C40B08">
        <w:rPr>
          <w:rFonts w:ascii="Calibri" w:hAnsi="Calibri"/>
        </w:rPr>
        <w:t xml:space="preserve">) and/or </w:t>
      </w:r>
      <w:r w:rsidR="006232FA" w:rsidRPr="00C40B08">
        <w:rPr>
          <w:rFonts w:ascii="Calibri" w:hAnsi="Calibri"/>
        </w:rPr>
        <w:lastRenderedPageBreak/>
        <w:t xml:space="preserve">by the </w:t>
      </w:r>
      <w:r w:rsidR="00D35686" w:rsidRPr="00C40B08">
        <w:rPr>
          <w:rFonts w:ascii="Calibri" w:hAnsi="Calibri"/>
        </w:rPr>
        <w:t>US EIA</w:t>
      </w:r>
      <w:r w:rsidR="00A97DEA" w:rsidRPr="00C40B08">
        <w:rPr>
          <w:rFonts w:ascii="Calibri" w:hAnsi="Calibri"/>
        </w:rPr>
        <w:t xml:space="preserve"> (2014a)</w:t>
      </w:r>
      <w:r w:rsidR="006232FA" w:rsidRPr="00C40B08">
        <w:rPr>
          <w:rFonts w:ascii="Calibri" w:hAnsi="Calibri"/>
        </w:rPr>
        <w:t xml:space="preserve"> High Technology “side case”. </w:t>
      </w:r>
      <w:r w:rsidR="007D349B" w:rsidRPr="00C40B08">
        <w:rPr>
          <w:rFonts w:ascii="Calibri" w:hAnsi="Calibri"/>
        </w:rPr>
        <w:t xml:space="preserve">Consistent with the CEIP incentives to improve demand-side energy efficiency, especially for low-income communities, shell thermal efficiencies in </w:t>
      </w:r>
      <w:r w:rsidR="001A2C71" w:rsidRPr="00C40B08">
        <w:rPr>
          <w:rFonts w:ascii="Calibri" w:hAnsi="Calibri"/>
        </w:rPr>
        <w:t xml:space="preserve">new </w:t>
      </w:r>
      <w:r w:rsidR="007D349B" w:rsidRPr="00C40B08">
        <w:rPr>
          <w:rFonts w:ascii="Calibri" w:hAnsi="Calibri"/>
        </w:rPr>
        <w:t>single-family homes, apartments, and mobile homes are also improved, mirroring the impacts of stronger state building codes</w:t>
      </w:r>
      <w:r w:rsidR="001F183A" w:rsidRPr="00C40B08">
        <w:rPr>
          <w:rFonts w:ascii="Calibri" w:hAnsi="Calibri"/>
        </w:rPr>
        <w:t>. (See Appendix Tables C.1-C.3)</w:t>
      </w:r>
      <w:r w:rsidR="007D349B" w:rsidRPr="00C40B08">
        <w:rPr>
          <w:rFonts w:ascii="Calibri" w:hAnsi="Calibri"/>
        </w:rPr>
        <w:t>.</w:t>
      </w:r>
    </w:p>
    <w:p w14:paraId="46080A45" w14:textId="32713C0D" w:rsidR="007D349B" w:rsidRPr="00C40B08" w:rsidRDefault="007D349B" w:rsidP="000656C9">
      <w:pPr>
        <w:spacing w:before="100" w:beforeAutospacing="1" w:after="100" w:afterAutospacing="1" w:line="276" w:lineRule="auto"/>
        <w:rPr>
          <w:rFonts w:ascii="Calibri" w:hAnsi="Calibri"/>
        </w:rPr>
      </w:pPr>
      <w:r w:rsidRPr="00C40B08">
        <w:rPr>
          <w:rFonts w:ascii="Calibri" w:hAnsi="Calibri"/>
        </w:rPr>
        <w:t xml:space="preserve">In the commercial sector, stronger state building codes and other energy-efficiency policies are </w:t>
      </w:r>
      <w:proofErr w:type="spellStart"/>
      <w:r w:rsidRPr="00C40B08">
        <w:rPr>
          <w:rFonts w:ascii="Calibri" w:hAnsi="Calibri"/>
        </w:rPr>
        <w:t>proxied</w:t>
      </w:r>
      <w:proofErr w:type="spellEnd"/>
      <w:r w:rsidRPr="00C40B08">
        <w:rPr>
          <w:rFonts w:ascii="Calibri" w:hAnsi="Calibri"/>
        </w:rPr>
        <w:t xml:space="preserve"> by strengthening the envelope efficiency of new buildings and by using </w:t>
      </w:r>
      <w:r w:rsidR="00A97DEA" w:rsidRPr="00C40B08">
        <w:rPr>
          <w:rFonts w:ascii="Calibri" w:hAnsi="Calibri"/>
        </w:rPr>
        <w:t xml:space="preserve">the </w:t>
      </w:r>
      <w:r w:rsidR="00D35686" w:rsidRPr="00C40B08">
        <w:rPr>
          <w:rFonts w:ascii="Calibri" w:hAnsi="Calibri"/>
        </w:rPr>
        <w:t>US EIA</w:t>
      </w:r>
      <w:r w:rsidR="00A97DEA" w:rsidRPr="00C40B08">
        <w:rPr>
          <w:rFonts w:ascii="Calibri" w:hAnsi="Calibri"/>
        </w:rPr>
        <w:t xml:space="preserve"> (2014a) </w:t>
      </w:r>
      <w:r w:rsidRPr="00C40B08">
        <w:rPr>
          <w:rFonts w:ascii="Calibri" w:hAnsi="Calibri"/>
        </w:rPr>
        <w:t xml:space="preserve">High Technology “side case” assumptions. In addition, two new high-efficiency air source heat pump technologies are added to the array of commercial HVAC options. </w:t>
      </w:r>
      <w:r w:rsidR="00CE73CF" w:rsidRPr="00C40B08">
        <w:rPr>
          <w:rFonts w:ascii="Calibri" w:hAnsi="Calibri"/>
        </w:rPr>
        <w:t xml:space="preserve">The market penetration of these new technologies and LED lighting is accelerated by also decreasing the discount rates used by commercial consumers of new air conditioning and lighting technologies in new and existing buildings, mirroring those used by Cox et al (2013). </w:t>
      </w:r>
      <w:r w:rsidRPr="00C40B08">
        <w:rPr>
          <w:rFonts w:ascii="Calibri" w:hAnsi="Calibri"/>
        </w:rPr>
        <w:t xml:space="preserve">These advanced technologies </w:t>
      </w:r>
      <w:r w:rsidR="00CE73CF" w:rsidRPr="00C40B08">
        <w:rPr>
          <w:rFonts w:ascii="Calibri" w:hAnsi="Calibri"/>
        </w:rPr>
        <w:t xml:space="preserve">also </w:t>
      </w:r>
      <w:r w:rsidRPr="00C40B08">
        <w:rPr>
          <w:rFonts w:ascii="Calibri" w:hAnsi="Calibri"/>
        </w:rPr>
        <w:t>benefit</w:t>
      </w:r>
      <w:r w:rsidR="00A97DEA" w:rsidRPr="00C40B08">
        <w:rPr>
          <w:rFonts w:ascii="Calibri" w:hAnsi="Calibri"/>
        </w:rPr>
        <w:t>ed</w:t>
      </w:r>
      <w:r w:rsidRPr="00C40B08">
        <w:rPr>
          <w:rFonts w:ascii="Calibri" w:hAnsi="Calibri"/>
        </w:rPr>
        <w:t xml:space="preserve"> from the recent promulgation of a new efficiency standards for commercial air conditioners and furnaces – the largest energy-saving building equi</w:t>
      </w:r>
      <w:r w:rsidR="00F21B21" w:rsidRPr="00C40B08">
        <w:rPr>
          <w:rFonts w:ascii="Calibri" w:hAnsi="Calibri"/>
        </w:rPr>
        <w:t>pment standard in U.S. history</w:t>
      </w:r>
      <w:r w:rsidR="00F21B21" w:rsidRPr="00C40B08">
        <w:rPr>
          <w:rStyle w:val="FootnoteReference"/>
          <w:rFonts w:ascii="Calibri" w:hAnsi="Calibri"/>
        </w:rPr>
        <w:footnoteReference w:id="4"/>
      </w:r>
      <w:r w:rsidR="00CE73CF" w:rsidRPr="00C40B08">
        <w:rPr>
          <w:rFonts w:ascii="Calibri" w:hAnsi="Calibri"/>
        </w:rPr>
        <w:t xml:space="preserve"> </w:t>
      </w:r>
      <w:r w:rsidRPr="00C40B08">
        <w:rPr>
          <w:rFonts w:ascii="Calibri" w:hAnsi="Calibri"/>
        </w:rPr>
        <w:t>– that is to be implem</w:t>
      </w:r>
      <w:r w:rsidR="009D0E26" w:rsidRPr="00C40B08">
        <w:rPr>
          <w:rFonts w:ascii="Calibri" w:hAnsi="Calibri"/>
        </w:rPr>
        <w:t>ented in two phase: in 2018 the standards</w:t>
      </w:r>
      <w:r w:rsidRPr="00C40B08">
        <w:rPr>
          <w:rFonts w:ascii="Calibri" w:hAnsi="Calibri"/>
        </w:rPr>
        <w:t xml:space="preserve"> will deliver a 13% improvement in the energy efficiency of </w:t>
      </w:r>
      <w:r w:rsidR="009D0E26" w:rsidRPr="00C40B08">
        <w:rPr>
          <w:rFonts w:ascii="Calibri" w:hAnsi="Calibri"/>
        </w:rPr>
        <w:t>new commercial units</w:t>
      </w:r>
      <w:r w:rsidRPr="00C40B08">
        <w:rPr>
          <w:rFonts w:ascii="Calibri" w:hAnsi="Calibri"/>
        </w:rPr>
        <w:t xml:space="preserve">, and in 2023, an additional 15% efficiency improvement will be required. We model the new standard by eliminating noncompliant rooftop equipment in 2018 and 2023. </w:t>
      </w:r>
    </w:p>
    <w:p w14:paraId="3D7EDD52" w14:textId="51E4AE8B" w:rsidR="007D349B" w:rsidRPr="00C40B08" w:rsidRDefault="007D349B" w:rsidP="000656C9">
      <w:pPr>
        <w:spacing w:before="100" w:beforeAutospacing="1" w:after="100" w:afterAutospacing="1" w:line="276" w:lineRule="auto"/>
        <w:rPr>
          <w:rFonts w:ascii="Calibri" w:hAnsi="Calibri"/>
        </w:rPr>
      </w:pPr>
      <w:r w:rsidRPr="00C40B08">
        <w:rPr>
          <w:rFonts w:ascii="Calibri" w:hAnsi="Calibri"/>
        </w:rPr>
        <w:t xml:space="preserve">In the industrial sector, stronger state energy-efficiency policies are modeled by including additional energy-efficiency assumptions related </w:t>
      </w:r>
      <w:r w:rsidR="009D0E26" w:rsidRPr="00C40B08">
        <w:rPr>
          <w:rFonts w:ascii="Calibri" w:hAnsi="Calibri"/>
        </w:rPr>
        <w:t>to combined heat and power</w:t>
      </w:r>
      <w:r w:rsidRPr="00C40B08">
        <w:rPr>
          <w:rFonts w:ascii="Calibri" w:hAnsi="Calibri"/>
        </w:rPr>
        <w:t xml:space="preserve"> and electric motors. The scenario assumes 30 percent investment tax credits for CHP through 2040, </w:t>
      </w:r>
      <w:r w:rsidR="009D0E26" w:rsidRPr="00C40B08">
        <w:rPr>
          <w:rFonts w:ascii="Calibri" w:hAnsi="Calibri"/>
        </w:rPr>
        <w:t xml:space="preserve">and </w:t>
      </w:r>
      <w:r w:rsidRPr="00C40B08">
        <w:rPr>
          <w:rFonts w:ascii="Calibri" w:hAnsi="Calibri"/>
        </w:rPr>
        <w:t>the rate of decline for CHP system costs is increased</w:t>
      </w:r>
      <w:r w:rsidR="009D0E26" w:rsidRPr="00C40B08">
        <w:rPr>
          <w:rFonts w:ascii="Calibri" w:hAnsi="Calibri"/>
        </w:rPr>
        <w:t xml:space="preserve"> by using </w:t>
      </w:r>
      <w:r w:rsidR="00D35686" w:rsidRPr="00C40B08">
        <w:rPr>
          <w:rFonts w:ascii="Calibri" w:hAnsi="Calibri"/>
        </w:rPr>
        <w:t>US EIA</w:t>
      </w:r>
      <w:r w:rsidR="00A97DEA" w:rsidRPr="00C40B08">
        <w:rPr>
          <w:rFonts w:ascii="Calibri" w:hAnsi="Calibri"/>
        </w:rPr>
        <w:t xml:space="preserve"> (2014a)</w:t>
      </w:r>
      <w:r w:rsidRPr="00C40B08">
        <w:rPr>
          <w:rFonts w:ascii="Calibri" w:hAnsi="Calibri"/>
        </w:rPr>
        <w:t>'s High Technology assumptions</w:t>
      </w:r>
      <w:r w:rsidR="009D0E26" w:rsidRPr="00C40B08">
        <w:rPr>
          <w:rFonts w:ascii="Calibri" w:hAnsi="Calibri"/>
        </w:rPr>
        <w:t xml:space="preserve">. </w:t>
      </w:r>
      <w:r w:rsidRPr="00C40B08">
        <w:rPr>
          <w:rFonts w:ascii="Calibri" w:hAnsi="Calibri"/>
        </w:rPr>
        <w:t xml:space="preserve">The High Tech case also assumed improved electric motor efficiencies. Further, we assume that policies encourage manufacturers in five industrial subsectors to reduce </w:t>
      </w:r>
      <w:r w:rsidR="005F078D" w:rsidRPr="00C40B08">
        <w:rPr>
          <w:rFonts w:ascii="Calibri" w:hAnsi="Calibri"/>
        </w:rPr>
        <w:t>UEC</w:t>
      </w:r>
      <w:r w:rsidRPr="00C40B08">
        <w:rPr>
          <w:rFonts w:ascii="Calibri" w:hAnsi="Calibri"/>
        </w:rPr>
        <w:t xml:space="preserve"> below Reference Case projections. </w:t>
      </w:r>
      <w:r w:rsidR="009D0E26" w:rsidRPr="00C40B08">
        <w:rPr>
          <w:rFonts w:ascii="Calibri" w:hAnsi="Calibri"/>
        </w:rPr>
        <w:t>The reductions in</w:t>
      </w:r>
      <w:r w:rsidRPr="00C40B08">
        <w:rPr>
          <w:rFonts w:ascii="Calibri" w:hAnsi="Calibri"/>
        </w:rPr>
        <w:t xml:space="preserve"> energy </w:t>
      </w:r>
      <w:r w:rsidR="009D0E26" w:rsidRPr="00C40B08">
        <w:rPr>
          <w:rFonts w:ascii="Calibri" w:hAnsi="Calibri"/>
        </w:rPr>
        <w:t xml:space="preserve">process </w:t>
      </w:r>
      <w:r w:rsidRPr="00C40B08">
        <w:rPr>
          <w:rFonts w:ascii="Calibri" w:hAnsi="Calibri"/>
        </w:rPr>
        <w:t>consumption in 2030 range from 18 percent for bulk chemicals, 23 percent for cement and refining, 40 percent for pulp and paper, and 57 percent for iron and steel</w:t>
      </w:r>
      <w:r w:rsidR="009D0E26" w:rsidRPr="00C40B08">
        <w:rPr>
          <w:rFonts w:ascii="Calibri" w:hAnsi="Calibri"/>
        </w:rPr>
        <w:t>, based on a literature review summarized in Brown, Cox, and Cortes (</w:t>
      </w:r>
      <w:r w:rsidR="008C06B5" w:rsidRPr="00C40B08">
        <w:rPr>
          <w:rFonts w:ascii="Calibri" w:hAnsi="Calibri"/>
        </w:rPr>
        <w:t xml:space="preserve">2010) and </w:t>
      </w:r>
      <w:r w:rsidRPr="00C40B08">
        <w:rPr>
          <w:rFonts w:ascii="Calibri" w:hAnsi="Calibri"/>
        </w:rPr>
        <w:t>Bianco, et al. (2013).</w:t>
      </w:r>
    </w:p>
    <w:p w14:paraId="223921B8" w14:textId="0093931D" w:rsidR="00C52206" w:rsidRPr="00C40B08" w:rsidRDefault="00C52206" w:rsidP="000656C9">
      <w:pPr>
        <w:spacing w:before="100" w:beforeAutospacing="1" w:after="100" w:afterAutospacing="1" w:line="276" w:lineRule="auto"/>
        <w:rPr>
          <w:rFonts w:ascii="Calibri" w:hAnsi="Calibri"/>
        </w:rPr>
      </w:pPr>
      <w:r w:rsidRPr="00C40B08">
        <w:rPr>
          <w:rFonts w:ascii="Calibri" w:hAnsi="Calibri"/>
          <w:b/>
        </w:rPr>
        <w:t xml:space="preserve">Alternative </w:t>
      </w:r>
      <w:r w:rsidR="009C66F5" w:rsidRPr="00C40B08">
        <w:rPr>
          <w:rFonts w:ascii="Calibri" w:hAnsi="Calibri"/>
          <w:b/>
        </w:rPr>
        <w:t>Mitigation</w:t>
      </w:r>
      <w:r w:rsidRPr="00C40B08">
        <w:rPr>
          <w:rFonts w:ascii="Calibri" w:hAnsi="Calibri"/>
          <w:b/>
        </w:rPr>
        <w:t xml:space="preserve"> Scenarios. </w:t>
      </w:r>
      <w:r w:rsidRPr="00C40B08">
        <w:rPr>
          <w:rFonts w:ascii="Calibri" w:hAnsi="Calibri"/>
        </w:rPr>
        <w:t>In addition to the updated Reference case, and the Reference case with advanced energy efficiency (</w:t>
      </w:r>
      <w:proofErr w:type="spellStart"/>
      <w:r w:rsidRPr="00C40B08">
        <w:rPr>
          <w:rFonts w:ascii="Calibri" w:hAnsi="Calibri"/>
        </w:rPr>
        <w:t>Reference+EE</w:t>
      </w:r>
      <w:proofErr w:type="spellEnd"/>
      <w:r w:rsidRPr="00C40B08">
        <w:rPr>
          <w:rFonts w:ascii="Calibri" w:hAnsi="Calibri"/>
        </w:rPr>
        <w:t xml:space="preserve">), we examine scenarios </w:t>
      </w:r>
      <w:r w:rsidR="00EF4690" w:rsidRPr="00C40B08">
        <w:rPr>
          <w:rFonts w:ascii="Calibri" w:hAnsi="Calibri"/>
        </w:rPr>
        <w:t>with reduced CO</w:t>
      </w:r>
      <w:r w:rsidR="00EF4690" w:rsidRPr="00C40B08">
        <w:rPr>
          <w:rFonts w:ascii="Calibri" w:hAnsi="Calibri"/>
          <w:vertAlign w:val="subscript"/>
        </w:rPr>
        <w:t>2</w:t>
      </w:r>
      <w:r w:rsidR="00EF4690" w:rsidRPr="00C40B08">
        <w:rPr>
          <w:rFonts w:ascii="Calibri" w:hAnsi="Calibri"/>
        </w:rPr>
        <w:t xml:space="preserve"> emissions that comply with the </w:t>
      </w:r>
      <w:r w:rsidR="00A66635" w:rsidRPr="00C40B08">
        <w:rPr>
          <w:rFonts w:ascii="Calibri" w:hAnsi="Calibri"/>
        </w:rPr>
        <w:t>state CO</w:t>
      </w:r>
      <w:r w:rsidR="00A66635" w:rsidRPr="00C40B08">
        <w:rPr>
          <w:rFonts w:ascii="Calibri" w:hAnsi="Calibri"/>
          <w:vertAlign w:val="subscript"/>
        </w:rPr>
        <w:t>2</w:t>
      </w:r>
      <w:r w:rsidR="00A66635" w:rsidRPr="00C40B08">
        <w:rPr>
          <w:rFonts w:ascii="Calibri" w:hAnsi="Calibri"/>
        </w:rPr>
        <w:t xml:space="preserve"> caps specified in the </w:t>
      </w:r>
      <w:r w:rsidR="00EF4690" w:rsidRPr="00C40B08">
        <w:rPr>
          <w:rFonts w:ascii="Calibri" w:hAnsi="Calibri"/>
        </w:rPr>
        <w:t>CPP</w:t>
      </w:r>
      <w:r w:rsidRPr="00C40B08">
        <w:rPr>
          <w:rFonts w:ascii="Calibri" w:hAnsi="Calibri"/>
        </w:rPr>
        <w:t xml:space="preserve">. Because </w:t>
      </w:r>
      <w:r w:rsidR="00A97DEA" w:rsidRPr="00C40B08">
        <w:rPr>
          <w:rFonts w:ascii="Calibri" w:hAnsi="Calibri"/>
        </w:rPr>
        <w:t>GT-</w:t>
      </w:r>
      <w:r w:rsidRPr="00C40B08">
        <w:rPr>
          <w:rFonts w:ascii="Calibri" w:hAnsi="Calibri"/>
        </w:rPr>
        <w:t xml:space="preserve">NEMS uses the 22 NERC regions to forecast electricity supply and demand, the state-level goals defined in the CPP </w:t>
      </w:r>
      <w:r w:rsidR="005A115E" w:rsidRPr="00C40B08">
        <w:rPr>
          <w:rFonts w:ascii="Calibri" w:hAnsi="Calibri"/>
        </w:rPr>
        <w:t>are</w:t>
      </w:r>
      <w:r w:rsidRPr="00C40B08">
        <w:rPr>
          <w:rFonts w:ascii="Calibri" w:hAnsi="Calibri"/>
        </w:rPr>
        <w:t xml:space="preserve"> apportioned to regional levels. Plant-level generation data for 2012 are used to weight </w:t>
      </w:r>
      <w:r w:rsidRPr="00C40B08">
        <w:rPr>
          <w:rFonts w:ascii="Calibri" w:hAnsi="Calibri"/>
        </w:rPr>
        <w:lastRenderedPageBreak/>
        <w:t xml:space="preserve">the state 2030 goals of the </w:t>
      </w:r>
      <w:r w:rsidR="00AB55CA" w:rsidRPr="00C40B08">
        <w:rPr>
          <w:rFonts w:ascii="Calibri" w:hAnsi="Calibri"/>
        </w:rPr>
        <w:t>CPP</w:t>
      </w:r>
      <w:r w:rsidRPr="00C40B08">
        <w:rPr>
          <w:rFonts w:ascii="Calibri" w:hAnsi="Calibri"/>
        </w:rPr>
        <w:t xml:space="preserve"> based on the percentage of each state's electricity generation </w:t>
      </w:r>
      <w:r w:rsidR="00A105D9" w:rsidRPr="00C40B08">
        <w:rPr>
          <w:rFonts w:ascii="Calibri" w:hAnsi="Calibri"/>
        </w:rPr>
        <w:t xml:space="preserve">located in </w:t>
      </w:r>
      <w:r w:rsidR="005C7D6A" w:rsidRPr="00C40B08">
        <w:rPr>
          <w:rFonts w:ascii="Calibri" w:hAnsi="Calibri"/>
        </w:rPr>
        <w:t xml:space="preserve">each NERC </w:t>
      </w:r>
      <w:r w:rsidR="00A105D9" w:rsidRPr="00C40B08">
        <w:rPr>
          <w:rFonts w:ascii="Calibri" w:hAnsi="Calibri"/>
        </w:rPr>
        <w:t>region</w:t>
      </w:r>
      <w:r w:rsidR="00A97DEA" w:rsidRPr="00C40B08">
        <w:rPr>
          <w:rFonts w:ascii="Calibri" w:hAnsi="Calibri"/>
        </w:rPr>
        <w:t xml:space="preserve"> in 2012</w:t>
      </w:r>
      <w:r w:rsidR="00A105D9" w:rsidRPr="00C40B08">
        <w:rPr>
          <w:rFonts w:ascii="Calibri" w:hAnsi="Calibri"/>
        </w:rPr>
        <w:t>.</w:t>
      </w:r>
      <w:r w:rsidRPr="00C40B08">
        <w:rPr>
          <w:rFonts w:ascii="Calibri" w:hAnsi="Calibri"/>
        </w:rPr>
        <w:t xml:space="preserve"> </w:t>
      </w:r>
    </w:p>
    <w:p w14:paraId="5D4D2D32" w14:textId="5A150285" w:rsidR="00C52206" w:rsidRPr="00C40B08" w:rsidRDefault="005A115E" w:rsidP="000656C9">
      <w:pPr>
        <w:spacing w:before="100" w:beforeAutospacing="1" w:after="100" w:afterAutospacing="1" w:line="276" w:lineRule="auto"/>
        <w:rPr>
          <w:rFonts w:ascii="Calibri" w:hAnsi="Calibri"/>
        </w:rPr>
      </w:pPr>
      <w:r w:rsidRPr="00C40B08">
        <w:rPr>
          <w:rFonts w:ascii="Calibri" w:hAnsi="Calibri"/>
        </w:rPr>
        <w:t>Two</w:t>
      </w:r>
      <w:r w:rsidR="00C52206" w:rsidRPr="00C40B08">
        <w:rPr>
          <w:rFonts w:ascii="Calibri" w:hAnsi="Calibri"/>
        </w:rPr>
        <w:t xml:space="preserve"> pairs of </w:t>
      </w:r>
      <w:r w:rsidR="00A66635" w:rsidRPr="00C40B08">
        <w:rPr>
          <w:rFonts w:ascii="Calibri" w:hAnsi="Calibri"/>
        </w:rPr>
        <w:t>mitigation</w:t>
      </w:r>
      <w:r w:rsidR="00C52206" w:rsidRPr="00C40B08">
        <w:rPr>
          <w:rFonts w:ascii="Calibri" w:hAnsi="Calibri"/>
        </w:rPr>
        <w:t xml:space="preserve"> scenarios are examined. The first pair uses </w:t>
      </w:r>
      <w:r w:rsidR="006C4966" w:rsidRPr="00C40B08">
        <w:rPr>
          <w:rFonts w:ascii="Calibri" w:hAnsi="Calibri"/>
        </w:rPr>
        <w:t>CO</w:t>
      </w:r>
      <w:r w:rsidR="006C4966" w:rsidRPr="00C40B08">
        <w:rPr>
          <w:rFonts w:ascii="Calibri" w:hAnsi="Calibri"/>
          <w:vertAlign w:val="subscript"/>
        </w:rPr>
        <w:t>2</w:t>
      </w:r>
      <w:r w:rsidR="006C4966">
        <w:rPr>
          <w:rFonts w:ascii="Calibri" w:hAnsi="Calibri"/>
          <w:vertAlign w:val="subscript"/>
        </w:rPr>
        <w:t xml:space="preserve"> </w:t>
      </w:r>
      <w:r w:rsidR="00DD4617" w:rsidRPr="00C40B08">
        <w:rPr>
          <w:rFonts w:ascii="Calibri" w:hAnsi="Calibri"/>
        </w:rPr>
        <w:t>mass constraints for existing electricity generating</w:t>
      </w:r>
      <w:r w:rsidR="0085240C" w:rsidRPr="00C40B08">
        <w:rPr>
          <w:rFonts w:ascii="Calibri" w:hAnsi="Calibri"/>
        </w:rPr>
        <w:t xml:space="preserve"> units. O</w:t>
      </w:r>
      <w:r w:rsidR="00C52206" w:rsidRPr="00C40B08">
        <w:rPr>
          <w:rFonts w:ascii="Calibri" w:hAnsi="Calibri"/>
        </w:rPr>
        <w:t xml:space="preserve">ne </w:t>
      </w:r>
      <w:r w:rsidR="0085240C" w:rsidRPr="00C40B08">
        <w:rPr>
          <w:rFonts w:ascii="Calibri" w:hAnsi="Calibri"/>
        </w:rPr>
        <w:t>of these does not include the</w:t>
      </w:r>
      <w:r w:rsidR="00C52206" w:rsidRPr="00C40B08">
        <w:rPr>
          <w:rFonts w:ascii="Calibri" w:hAnsi="Calibri"/>
        </w:rPr>
        <w:t xml:space="preserve"> strong energy-efficiency policies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C52206" w:rsidRPr="00C40B08">
        <w:rPr>
          <w:rFonts w:ascii="Calibri" w:hAnsi="Calibri"/>
        </w:rPr>
        <w:t xml:space="preserve">-Existing”) and the other </w:t>
      </w:r>
      <w:r w:rsidR="0085240C" w:rsidRPr="00C40B08">
        <w:rPr>
          <w:rFonts w:ascii="Calibri" w:hAnsi="Calibri"/>
        </w:rPr>
        <w:t xml:space="preserve">does include them </w:t>
      </w:r>
      <w:r w:rsidR="00C52206" w:rsidRPr="00C40B08">
        <w:rPr>
          <w:rFonts w:ascii="Calibri" w:hAnsi="Calibri"/>
        </w:rPr>
        <w:t>(“</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C52206" w:rsidRPr="00C40B08">
        <w:rPr>
          <w:rFonts w:ascii="Calibri" w:hAnsi="Calibri"/>
        </w:rPr>
        <w:t xml:space="preserve">-Existing+EE”). The second pair uses </w:t>
      </w:r>
      <w:r w:rsidR="006C4966" w:rsidRPr="00C40B08">
        <w:rPr>
          <w:rFonts w:ascii="Calibri" w:hAnsi="Calibri"/>
        </w:rPr>
        <w:t>CO</w:t>
      </w:r>
      <w:r w:rsidR="006C4966" w:rsidRPr="00C40B08">
        <w:rPr>
          <w:rFonts w:ascii="Calibri" w:hAnsi="Calibri"/>
          <w:vertAlign w:val="subscript"/>
        </w:rPr>
        <w:t>2</w:t>
      </w:r>
      <w:r w:rsidR="006C4966">
        <w:rPr>
          <w:rFonts w:ascii="Calibri" w:hAnsi="Calibri"/>
          <w:vertAlign w:val="subscript"/>
        </w:rPr>
        <w:t xml:space="preserve"> </w:t>
      </w:r>
      <w:r w:rsidR="00C52206" w:rsidRPr="00C40B08">
        <w:rPr>
          <w:rFonts w:ascii="Calibri" w:hAnsi="Calibri"/>
        </w:rPr>
        <w:t xml:space="preserve">mass constraints for </w:t>
      </w:r>
      <w:r w:rsidRPr="00C40B08">
        <w:rPr>
          <w:rFonts w:ascii="Calibri" w:hAnsi="Calibri"/>
        </w:rPr>
        <w:t>“</w:t>
      </w:r>
      <w:r w:rsidR="00C52206" w:rsidRPr="00C40B08">
        <w:rPr>
          <w:rFonts w:ascii="Calibri" w:hAnsi="Calibri"/>
        </w:rPr>
        <w:t xml:space="preserve">All” </w:t>
      </w:r>
      <w:r w:rsidR="00403809" w:rsidRPr="00C40B08">
        <w:rPr>
          <w:rFonts w:ascii="Calibri" w:hAnsi="Calibri"/>
        </w:rPr>
        <w:t>(that is, existing and new</w:t>
      </w:r>
      <w:r w:rsidRPr="00C40B08">
        <w:rPr>
          <w:rFonts w:ascii="Calibri" w:hAnsi="Calibri"/>
        </w:rPr>
        <w:t xml:space="preserve"> </w:t>
      </w:r>
      <w:r w:rsidR="00C52206" w:rsidRPr="00C40B08">
        <w:rPr>
          <w:rFonts w:ascii="Calibri" w:hAnsi="Calibri"/>
        </w:rPr>
        <w:t>units</w:t>
      </w:r>
      <w:r w:rsidR="00CB67CE">
        <w:rPr>
          <w:rFonts w:ascii="Calibri" w:hAnsi="Calibri"/>
        </w:rPr>
        <w:t>).</w:t>
      </w:r>
      <w:r w:rsidR="0085240C" w:rsidRPr="00C40B08">
        <w:rPr>
          <w:rFonts w:ascii="Calibri" w:hAnsi="Calibri"/>
        </w:rPr>
        <w:t xml:space="preserve"> O</w:t>
      </w:r>
      <w:r w:rsidR="00C52206" w:rsidRPr="00C40B08">
        <w:rPr>
          <w:rFonts w:ascii="Calibri" w:hAnsi="Calibri"/>
        </w:rPr>
        <w:t xml:space="preserve">ne </w:t>
      </w:r>
      <w:r w:rsidR="0085240C" w:rsidRPr="00C40B08">
        <w:rPr>
          <w:rFonts w:ascii="Calibri" w:hAnsi="Calibri"/>
        </w:rPr>
        <w:t>of these does not include the strong energy-efficiency policies</w:t>
      </w:r>
      <w:r w:rsidR="00C52206" w:rsidRPr="00C40B08">
        <w:rPr>
          <w:rFonts w:ascii="Calibri" w:hAnsi="Calibri"/>
        </w:rPr>
        <w:t xml:space="preserve">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C52206" w:rsidRPr="00C40B08">
        <w:rPr>
          <w:rFonts w:ascii="Calibri" w:hAnsi="Calibri"/>
        </w:rPr>
        <w:t xml:space="preserve">-All”) and the other </w:t>
      </w:r>
      <w:r w:rsidR="0085240C" w:rsidRPr="00C40B08">
        <w:rPr>
          <w:rFonts w:ascii="Calibri" w:hAnsi="Calibri"/>
        </w:rPr>
        <w:t xml:space="preserve">does include them </w:t>
      </w:r>
      <w:r w:rsidR="00C52206" w:rsidRPr="00C40B08">
        <w:rPr>
          <w:rFonts w:ascii="Calibri" w:hAnsi="Calibri"/>
        </w:rPr>
        <w:t>(“</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C52206" w:rsidRPr="00C40B08">
        <w:rPr>
          <w:rFonts w:ascii="Calibri" w:hAnsi="Calibri"/>
        </w:rPr>
        <w:t xml:space="preserve">-All+EE”). </w:t>
      </w:r>
    </w:p>
    <w:p w14:paraId="3176AED7" w14:textId="3937F988" w:rsidR="007D349B" w:rsidRPr="00C40B08" w:rsidRDefault="00403809" w:rsidP="000656C9">
      <w:pPr>
        <w:pStyle w:val="ListParagraph"/>
        <w:numPr>
          <w:ilvl w:val="0"/>
          <w:numId w:val="1"/>
        </w:numPr>
        <w:spacing w:line="276" w:lineRule="auto"/>
        <w:outlineLvl w:val="0"/>
        <w:rPr>
          <w:rFonts w:ascii="Calibri" w:hAnsi="Calibri" w:cs="Times New Roman"/>
          <w:b/>
          <w:sz w:val="24"/>
          <w:szCs w:val="24"/>
        </w:rPr>
      </w:pPr>
      <w:r w:rsidRPr="00C40B08">
        <w:rPr>
          <w:rFonts w:ascii="Calibri" w:hAnsi="Calibri" w:cs="Times New Roman"/>
          <w:b/>
          <w:sz w:val="24"/>
          <w:szCs w:val="24"/>
        </w:rPr>
        <w:t>Results</w:t>
      </w:r>
    </w:p>
    <w:p w14:paraId="36B3C38A" w14:textId="129DA5E2" w:rsidR="00430A50" w:rsidRPr="00C40B08" w:rsidRDefault="005D24B5" w:rsidP="000656C9">
      <w:pPr>
        <w:spacing w:before="100" w:beforeAutospacing="1" w:after="100" w:afterAutospacing="1" w:line="276" w:lineRule="auto"/>
        <w:rPr>
          <w:rFonts w:ascii="Calibri" w:hAnsi="Calibri"/>
        </w:rPr>
      </w:pPr>
      <w:r w:rsidRPr="00C40B08">
        <w:rPr>
          <w:rFonts w:ascii="Calibri" w:hAnsi="Calibri"/>
        </w:rPr>
        <w:t xml:space="preserve">The </w:t>
      </w:r>
      <w:r w:rsidR="00933A97" w:rsidRPr="00C40B08">
        <w:rPr>
          <w:rFonts w:ascii="Calibri" w:hAnsi="Calibri"/>
        </w:rPr>
        <w:t>GT-</w:t>
      </w:r>
      <w:r w:rsidRPr="00C40B08">
        <w:rPr>
          <w:rFonts w:ascii="Calibri" w:hAnsi="Calibri"/>
        </w:rPr>
        <w:t xml:space="preserve">NEMS modeling described above enables the examination of </w:t>
      </w:r>
      <w:r w:rsidR="005A115E" w:rsidRPr="00C40B08">
        <w:rPr>
          <w:rFonts w:ascii="Calibri" w:hAnsi="Calibri"/>
        </w:rPr>
        <w:t>the four</w:t>
      </w:r>
      <w:r w:rsidRPr="00C40B08">
        <w:rPr>
          <w:rFonts w:ascii="Calibri" w:hAnsi="Calibri"/>
        </w:rPr>
        <w:t xml:space="preserve"> </w:t>
      </w:r>
      <w:r w:rsidR="0085240C" w:rsidRPr="00C40B08">
        <w:rPr>
          <w:rFonts w:ascii="Calibri" w:hAnsi="Calibri"/>
        </w:rPr>
        <w:t>hypothes</w:t>
      </w:r>
      <w:r w:rsidR="0086522F" w:rsidRPr="00C40B08">
        <w:rPr>
          <w:rFonts w:ascii="Calibri" w:hAnsi="Calibri"/>
        </w:rPr>
        <w:t>es about</w:t>
      </w:r>
      <w:r w:rsidR="005A115E" w:rsidRPr="00C40B08">
        <w:rPr>
          <w:rFonts w:ascii="Calibri" w:hAnsi="Calibri"/>
        </w:rPr>
        <w:t xml:space="preserve"> energy efficiency</w:t>
      </w:r>
      <w:r w:rsidR="0085240C" w:rsidRPr="00C40B08">
        <w:rPr>
          <w:rFonts w:ascii="Calibri" w:hAnsi="Calibri"/>
        </w:rPr>
        <w:t>.</w:t>
      </w:r>
      <w:r w:rsidR="004D6D26" w:rsidRPr="00C40B08">
        <w:rPr>
          <w:rFonts w:ascii="Calibri" w:hAnsi="Calibri"/>
        </w:rPr>
        <w:t xml:space="preserve"> Before presenting results for each hypothesis, we </w:t>
      </w:r>
      <w:r w:rsidR="00DB5939" w:rsidRPr="00C40B08">
        <w:rPr>
          <w:rFonts w:ascii="Calibri" w:hAnsi="Calibri"/>
        </w:rPr>
        <w:t xml:space="preserve">first </w:t>
      </w:r>
      <w:r w:rsidR="004D6D26" w:rsidRPr="00C40B08">
        <w:rPr>
          <w:rFonts w:ascii="Calibri" w:hAnsi="Calibri"/>
        </w:rPr>
        <w:t>characterize the magnitude of incremental energy efficiency that our strong policies produce</w:t>
      </w:r>
      <w:r w:rsidR="005A115E" w:rsidRPr="00C40B08">
        <w:rPr>
          <w:rFonts w:ascii="Calibri" w:hAnsi="Calibri"/>
        </w:rPr>
        <w:t>.</w:t>
      </w:r>
    </w:p>
    <w:p w14:paraId="5217D413" w14:textId="1D9B7753" w:rsidR="00DB5939" w:rsidRPr="00C40B08" w:rsidRDefault="00530D8D" w:rsidP="000656C9">
      <w:pPr>
        <w:spacing w:before="100" w:beforeAutospacing="1" w:after="100" w:afterAutospacing="1" w:line="276" w:lineRule="auto"/>
        <w:rPr>
          <w:rFonts w:ascii="Calibri" w:hAnsi="Calibri"/>
        </w:rPr>
      </w:pPr>
      <w:r w:rsidRPr="00C40B08">
        <w:rPr>
          <w:rFonts w:ascii="Calibri" w:hAnsi="Calibri"/>
        </w:rPr>
        <w:t>In the absence of CO</w:t>
      </w:r>
      <w:r w:rsidRPr="00C40B08">
        <w:rPr>
          <w:rFonts w:ascii="Calibri" w:hAnsi="Calibri"/>
          <w:vertAlign w:val="subscript"/>
        </w:rPr>
        <w:t>2</w:t>
      </w:r>
      <w:r w:rsidRPr="00C40B08">
        <w:rPr>
          <w:rFonts w:ascii="Calibri" w:hAnsi="Calibri"/>
        </w:rPr>
        <w:t xml:space="preserve"> caps, the GT-NEMS Reference case forecasts that e</w:t>
      </w:r>
      <w:r w:rsidR="00DB5939" w:rsidRPr="00C40B08">
        <w:rPr>
          <w:rFonts w:ascii="Calibri" w:hAnsi="Calibri"/>
        </w:rPr>
        <w:t xml:space="preserve">lectricity consumption in the U.S. </w:t>
      </w:r>
      <w:r w:rsidRPr="00C40B08">
        <w:rPr>
          <w:rFonts w:ascii="Calibri" w:hAnsi="Calibri"/>
        </w:rPr>
        <w:t>will</w:t>
      </w:r>
      <w:r w:rsidR="00DB5939" w:rsidRPr="00C40B08">
        <w:rPr>
          <w:rFonts w:ascii="Calibri" w:hAnsi="Calibri"/>
        </w:rPr>
        <w:t xml:space="preserve"> grow steadily through 2040, at an average annual rate of 0.8%, which is greater than the rate of growth of CO</w:t>
      </w:r>
      <w:r w:rsidR="00DB5939" w:rsidRPr="00C40B08">
        <w:rPr>
          <w:rFonts w:ascii="Calibri" w:hAnsi="Calibri"/>
          <w:vertAlign w:val="subscript"/>
        </w:rPr>
        <w:t>2</w:t>
      </w:r>
      <w:r w:rsidR="00DB5939" w:rsidRPr="00C40B08">
        <w:rPr>
          <w:rFonts w:ascii="Calibri" w:hAnsi="Calibri"/>
        </w:rPr>
        <w:t xml:space="preserve"> emissions from the electric power sector (0.2%), similar to the growth rate of the U.S. population (0.7%), and much less than the growth rate of the nation’s gross domestic product (2.4%) (</w:t>
      </w:r>
      <w:r w:rsidR="00D35686" w:rsidRPr="00C40B08">
        <w:rPr>
          <w:rFonts w:ascii="Calibri" w:hAnsi="Calibri"/>
        </w:rPr>
        <w:t>US EIA</w:t>
      </w:r>
      <w:r w:rsidR="00EA6EA3" w:rsidRPr="00C40B08">
        <w:rPr>
          <w:rFonts w:ascii="Calibri" w:hAnsi="Calibri"/>
        </w:rPr>
        <w:t>,</w:t>
      </w:r>
      <w:r w:rsidR="00DB5939" w:rsidRPr="00C40B08">
        <w:rPr>
          <w:rFonts w:ascii="Calibri" w:hAnsi="Calibri"/>
        </w:rPr>
        <w:t xml:space="preserve"> 2015a). Specifically, between 2012 and 2030, total net electricity generation </w:t>
      </w:r>
      <w:r w:rsidRPr="00C40B08">
        <w:rPr>
          <w:rFonts w:ascii="Calibri" w:hAnsi="Calibri"/>
        </w:rPr>
        <w:t>would</w:t>
      </w:r>
      <w:r w:rsidR="00DB5939" w:rsidRPr="00C40B08">
        <w:rPr>
          <w:rFonts w:ascii="Calibri" w:hAnsi="Calibri"/>
        </w:rPr>
        <w:t xml:space="preserve"> increase by 16% – from 4,055 to 4,698 billion kWh. </w:t>
      </w:r>
    </w:p>
    <w:p w14:paraId="7F51085C" w14:textId="140DB3E1" w:rsidR="00DB5939" w:rsidRPr="00C40B08" w:rsidRDefault="00DB5939" w:rsidP="000656C9">
      <w:pPr>
        <w:spacing w:before="100" w:beforeAutospacing="1" w:after="100" w:afterAutospacing="1" w:line="276" w:lineRule="auto"/>
        <w:rPr>
          <w:rFonts w:ascii="Calibri" w:hAnsi="Calibri"/>
        </w:rPr>
      </w:pPr>
      <w:r w:rsidRPr="00C40B08">
        <w:rPr>
          <w:rFonts w:ascii="Calibri" w:hAnsi="Calibri"/>
        </w:rPr>
        <w:t xml:space="preserve">The </w:t>
      </w:r>
      <w:r w:rsidR="00A66635" w:rsidRPr="00C40B08">
        <w:rPr>
          <w:rFonts w:ascii="Calibri" w:hAnsi="Calibri"/>
        </w:rPr>
        <w:t>mitigation</w:t>
      </w:r>
      <w:r w:rsidRPr="00C40B08">
        <w:rPr>
          <w:rFonts w:ascii="Calibri" w:hAnsi="Calibri"/>
        </w:rPr>
        <w:t xml:space="preserve"> scenarios on their own (that is, without additional energy efficiency policies) would continue to see growth in demand, with only a 3-4% reduction in electricity consumption in 2030, relative to the Reference case. In the two </w:t>
      </w:r>
      <w:r w:rsidR="00A66635" w:rsidRPr="00C40B08">
        <w:rPr>
          <w:rFonts w:ascii="Calibri" w:hAnsi="Calibri"/>
        </w:rPr>
        <w:t xml:space="preserve">mitigation </w:t>
      </w:r>
      <w:r w:rsidRPr="00C40B08">
        <w:rPr>
          <w:rFonts w:ascii="Calibri" w:hAnsi="Calibri"/>
        </w:rPr>
        <w:t xml:space="preserve">scenarios with enhanced efficiency, electricity </w:t>
      </w:r>
      <w:r w:rsidR="0070549F" w:rsidRPr="00C40B08">
        <w:rPr>
          <w:rFonts w:ascii="Calibri" w:hAnsi="Calibri"/>
        </w:rPr>
        <w:t>consumption first flattens in 2019 and then dips for a few years before growing relatively slowly through 2030</w:t>
      </w:r>
      <w:r w:rsidRPr="00C40B08">
        <w:rPr>
          <w:rFonts w:ascii="Calibri" w:hAnsi="Calibri"/>
        </w:rPr>
        <w:t xml:space="preserve"> when reductions of </w:t>
      </w:r>
      <w:r w:rsidR="00587007" w:rsidRPr="00C40B08">
        <w:rPr>
          <w:rFonts w:ascii="Calibri" w:hAnsi="Calibri"/>
        </w:rPr>
        <w:t>413</w:t>
      </w:r>
      <w:r w:rsidR="00CB257A" w:rsidRPr="00C40B08">
        <w:rPr>
          <w:rFonts w:ascii="Calibri" w:hAnsi="Calibri"/>
        </w:rPr>
        <w:t>-437 billion kWh (or 9</w:t>
      </w:r>
      <w:r w:rsidRPr="00C40B08">
        <w:rPr>
          <w:rFonts w:ascii="Calibri" w:hAnsi="Calibri"/>
        </w:rPr>
        <w:t xml:space="preserve">%) occur, relative to the Reference case (Figure 1). </w:t>
      </w:r>
    </w:p>
    <w:p w14:paraId="30009014" w14:textId="0ABCC999" w:rsidR="00DB5939" w:rsidRPr="00C40B08" w:rsidRDefault="00DB5939"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Figure 1. Total Electricity Consumption (Billion kWh)</w:t>
      </w:r>
    </w:p>
    <w:p w14:paraId="20A423F0" w14:textId="2B2A0BB9" w:rsidR="00DB5939" w:rsidRPr="00C40B08" w:rsidRDefault="00CA6589" w:rsidP="000656C9">
      <w:pPr>
        <w:spacing w:line="276" w:lineRule="auto"/>
        <w:jc w:val="center"/>
        <w:rPr>
          <w:rFonts w:ascii="Calibri" w:hAnsi="Calibri"/>
        </w:rPr>
      </w:pPr>
      <w:r>
        <w:rPr>
          <w:noProof/>
        </w:rPr>
        <w:drawing>
          <wp:inline distT="0" distB="0" distL="0" distR="0" wp14:anchorId="071074D4" wp14:editId="1D5E9A79">
            <wp:extent cx="5009763" cy="37113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13">
                      <a:extLst>
                        <a:ext uri="{28A0092B-C50C-407E-A947-70E740481C1C}">
                          <a14:useLocalDpi xmlns:a14="http://schemas.microsoft.com/office/drawing/2010/main" val="0"/>
                        </a:ext>
                      </a:extLst>
                    </a:blip>
                    <a:stretch>
                      <a:fillRect/>
                    </a:stretch>
                  </pic:blipFill>
                  <pic:spPr>
                    <a:xfrm>
                      <a:off x="0" y="0"/>
                      <a:ext cx="5014481" cy="3714856"/>
                    </a:xfrm>
                    <a:prstGeom prst="rect">
                      <a:avLst/>
                    </a:prstGeom>
                  </pic:spPr>
                </pic:pic>
              </a:graphicData>
            </a:graphic>
          </wp:inline>
        </w:drawing>
      </w:r>
    </w:p>
    <w:p w14:paraId="7B2E8322" w14:textId="6CBA8937" w:rsidR="00DB5939" w:rsidRPr="00C40B08" w:rsidRDefault="00530D8D" w:rsidP="000656C9">
      <w:pPr>
        <w:spacing w:before="100" w:beforeAutospacing="1" w:after="100" w:afterAutospacing="1" w:line="276" w:lineRule="auto"/>
        <w:rPr>
          <w:rFonts w:ascii="Calibri" w:hAnsi="Calibri"/>
        </w:rPr>
      </w:pPr>
      <w:r w:rsidRPr="00C40B08">
        <w:rPr>
          <w:rFonts w:ascii="Calibri" w:hAnsi="Calibri"/>
        </w:rPr>
        <w:t xml:space="preserve">This </w:t>
      </w:r>
      <w:r w:rsidR="00DB5939" w:rsidRPr="00C40B08">
        <w:rPr>
          <w:rFonts w:ascii="Calibri" w:hAnsi="Calibri"/>
        </w:rPr>
        <w:t>range of 4</w:t>
      </w:r>
      <w:r w:rsidR="00587007" w:rsidRPr="00C40B08">
        <w:rPr>
          <w:rFonts w:ascii="Calibri" w:hAnsi="Calibri"/>
        </w:rPr>
        <w:t>13</w:t>
      </w:r>
      <w:r w:rsidR="00DB5939" w:rsidRPr="00C40B08">
        <w:rPr>
          <w:rFonts w:ascii="Calibri" w:hAnsi="Calibri"/>
        </w:rPr>
        <w:t xml:space="preserve">-437 </w:t>
      </w:r>
      <w:proofErr w:type="spellStart"/>
      <w:r w:rsidR="004742EB" w:rsidRPr="00C40B08">
        <w:rPr>
          <w:rFonts w:ascii="Calibri" w:hAnsi="Calibri"/>
        </w:rPr>
        <w:t>TWh</w:t>
      </w:r>
      <w:proofErr w:type="spellEnd"/>
      <w:r w:rsidR="00DB5939" w:rsidRPr="00C40B08">
        <w:rPr>
          <w:rFonts w:ascii="Calibri" w:hAnsi="Calibri"/>
        </w:rPr>
        <w:t xml:space="preserve"> exceeds the findings of </w:t>
      </w:r>
      <w:r w:rsidR="00CB257A" w:rsidRPr="00C40B08">
        <w:rPr>
          <w:rFonts w:ascii="Calibri" w:hAnsi="Calibri"/>
        </w:rPr>
        <w:t>some</w:t>
      </w:r>
      <w:r w:rsidR="00DB5939" w:rsidRPr="00C40B08">
        <w:rPr>
          <w:rFonts w:ascii="Calibri" w:hAnsi="Calibri"/>
        </w:rPr>
        <w:t xml:space="preserve"> st</w:t>
      </w:r>
      <w:r w:rsidR="00CF75DC" w:rsidRPr="00C40B08">
        <w:rPr>
          <w:rFonts w:ascii="Calibri" w:hAnsi="Calibri"/>
        </w:rPr>
        <w:t xml:space="preserve">udies, but not </w:t>
      </w:r>
      <w:r w:rsidR="00CB257A" w:rsidRPr="00C40B08">
        <w:rPr>
          <w:rFonts w:ascii="Calibri" w:hAnsi="Calibri"/>
        </w:rPr>
        <w:t>others</w:t>
      </w:r>
      <w:r w:rsidR="00CF75DC" w:rsidRPr="00C40B08">
        <w:rPr>
          <w:rFonts w:ascii="Calibri" w:hAnsi="Calibri"/>
        </w:rPr>
        <w:t xml:space="preserve">. </w:t>
      </w:r>
      <w:r w:rsidRPr="00C40B08">
        <w:rPr>
          <w:rFonts w:ascii="Calibri" w:hAnsi="Calibri"/>
        </w:rPr>
        <w:t>It</w:t>
      </w:r>
      <w:r w:rsidR="00CB257A" w:rsidRPr="00C40B08">
        <w:rPr>
          <w:rFonts w:ascii="Calibri" w:hAnsi="Calibri"/>
        </w:rPr>
        <w:t xml:space="preserve"> </w:t>
      </w:r>
      <w:r w:rsidR="00DB5939" w:rsidRPr="00C40B08">
        <w:rPr>
          <w:rFonts w:ascii="Calibri" w:hAnsi="Calibri"/>
        </w:rPr>
        <w:t xml:space="preserve">is </w:t>
      </w:r>
      <w:r w:rsidRPr="00C40B08">
        <w:rPr>
          <w:rFonts w:ascii="Calibri" w:hAnsi="Calibri"/>
        </w:rPr>
        <w:t xml:space="preserve">lower </w:t>
      </w:r>
      <w:r w:rsidR="00DB5939" w:rsidRPr="00C40B08">
        <w:rPr>
          <w:rFonts w:ascii="Calibri" w:hAnsi="Calibri"/>
        </w:rPr>
        <w:t xml:space="preserve">than the 709 </w:t>
      </w:r>
      <w:proofErr w:type="spellStart"/>
      <w:r w:rsidR="00DB5939" w:rsidRPr="00C40B08">
        <w:rPr>
          <w:rFonts w:ascii="Calibri" w:hAnsi="Calibri"/>
        </w:rPr>
        <w:t>TWh</w:t>
      </w:r>
      <w:proofErr w:type="spellEnd"/>
      <w:r w:rsidR="00DB5939" w:rsidRPr="00C40B08">
        <w:rPr>
          <w:rFonts w:ascii="Calibri" w:hAnsi="Calibri"/>
        </w:rPr>
        <w:t xml:space="preserve"> </w:t>
      </w:r>
      <w:r w:rsidR="00CB257A" w:rsidRPr="00C40B08">
        <w:rPr>
          <w:rFonts w:ascii="Calibri" w:hAnsi="Calibri"/>
        </w:rPr>
        <w:t xml:space="preserve">of energy efficiency </w:t>
      </w:r>
      <w:r w:rsidR="00DB5939" w:rsidRPr="00C40B08">
        <w:rPr>
          <w:rFonts w:ascii="Calibri" w:hAnsi="Calibri"/>
        </w:rPr>
        <w:t xml:space="preserve">estimated by </w:t>
      </w:r>
      <w:proofErr w:type="spellStart"/>
      <w:r w:rsidR="00DB5939" w:rsidRPr="00C40B08">
        <w:rPr>
          <w:rFonts w:ascii="Calibri" w:hAnsi="Calibri"/>
        </w:rPr>
        <w:t>Lasho</w:t>
      </w:r>
      <w:r w:rsidR="00297A78" w:rsidRPr="00C40B08">
        <w:rPr>
          <w:rFonts w:ascii="Calibri" w:hAnsi="Calibri"/>
        </w:rPr>
        <w:t>f</w:t>
      </w:r>
      <w:proofErr w:type="spellEnd"/>
      <w:r w:rsidR="00297A78" w:rsidRPr="00C40B08">
        <w:rPr>
          <w:rFonts w:ascii="Calibri" w:hAnsi="Calibri"/>
        </w:rPr>
        <w:t xml:space="preserve"> et a</w:t>
      </w:r>
      <w:r w:rsidR="00CB257A" w:rsidRPr="00C40B08">
        <w:rPr>
          <w:rFonts w:ascii="Calibri" w:hAnsi="Calibri"/>
        </w:rPr>
        <w:t>l. (2014) in their energy-</w:t>
      </w:r>
      <w:r w:rsidR="00297A78" w:rsidRPr="00C40B08">
        <w:rPr>
          <w:rFonts w:ascii="Calibri" w:hAnsi="Calibri"/>
        </w:rPr>
        <w:t>efficiency side</w:t>
      </w:r>
      <w:r w:rsidR="00DB5939" w:rsidRPr="00C40B08">
        <w:rPr>
          <w:rFonts w:ascii="Calibri" w:hAnsi="Calibri"/>
        </w:rPr>
        <w:t xml:space="preserve"> case (with an average efficiency costs of 2.7¢/kWh) and less than the 707 </w:t>
      </w:r>
      <w:proofErr w:type="spellStart"/>
      <w:r w:rsidR="00DB5939" w:rsidRPr="00C40B08">
        <w:rPr>
          <w:rFonts w:ascii="Calibri" w:hAnsi="Calibri"/>
        </w:rPr>
        <w:t>TWh</w:t>
      </w:r>
      <w:proofErr w:type="spellEnd"/>
      <w:r w:rsidR="00DB5939" w:rsidRPr="00C40B08">
        <w:rPr>
          <w:rFonts w:ascii="Calibri" w:hAnsi="Calibri"/>
        </w:rPr>
        <w:t xml:space="preserve"> of energy efficiency modeled by Brown et al (2015) in their analysis of a tax on carbon in the electricity sector. </w:t>
      </w:r>
    </w:p>
    <w:p w14:paraId="4269AE48" w14:textId="0AA1B4B5" w:rsidR="00DB5939" w:rsidRPr="00C40B08" w:rsidRDefault="00073288" w:rsidP="000656C9">
      <w:pPr>
        <w:spacing w:before="100" w:beforeAutospacing="1" w:after="100" w:afterAutospacing="1" w:line="276" w:lineRule="auto"/>
        <w:rPr>
          <w:rFonts w:ascii="Calibri" w:hAnsi="Calibri"/>
        </w:rPr>
      </w:pPr>
      <w:r w:rsidRPr="00C40B08">
        <w:rPr>
          <w:rFonts w:ascii="Calibri" w:hAnsi="Calibri"/>
        </w:rPr>
        <w:t xml:space="preserve">Our range is similar to the 457 </w:t>
      </w:r>
      <w:proofErr w:type="spellStart"/>
      <w:r w:rsidRPr="00C40B08">
        <w:rPr>
          <w:rFonts w:ascii="Calibri" w:hAnsi="Calibri"/>
        </w:rPr>
        <w:t>TWh</w:t>
      </w:r>
      <w:proofErr w:type="spellEnd"/>
      <w:r w:rsidRPr="00C40B08">
        <w:rPr>
          <w:rFonts w:ascii="Calibri" w:hAnsi="Calibri"/>
        </w:rPr>
        <w:t xml:space="preserve"> of cost-effective energy efficiency esti</w:t>
      </w:r>
      <w:r w:rsidR="00297A78" w:rsidRPr="00C40B08">
        <w:rPr>
          <w:rFonts w:ascii="Calibri" w:hAnsi="Calibri"/>
        </w:rPr>
        <w:t>mated by Wang and Brown (2014)</w:t>
      </w:r>
      <w:r w:rsidR="009E0A50" w:rsidRPr="00C40B08">
        <w:rPr>
          <w:rFonts w:ascii="Calibri" w:hAnsi="Calibri"/>
        </w:rPr>
        <w:t>, which is</w:t>
      </w:r>
      <w:r w:rsidR="00297A78" w:rsidRPr="00C40B08">
        <w:rPr>
          <w:rFonts w:ascii="Calibri" w:hAnsi="Calibri"/>
        </w:rPr>
        <w:t xml:space="preserve"> </w:t>
      </w:r>
      <w:r w:rsidR="0023682D" w:rsidRPr="00C40B08">
        <w:rPr>
          <w:rFonts w:ascii="Calibri" w:hAnsi="Calibri"/>
        </w:rPr>
        <w:t xml:space="preserve">based on modeling </w:t>
      </w:r>
      <w:r w:rsidR="009E0A50" w:rsidRPr="00C40B08">
        <w:rPr>
          <w:rFonts w:ascii="Calibri" w:hAnsi="Calibri"/>
        </w:rPr>
        <w:t xml:space="preserve">a set of </w:t>
      </w:r>
      <w:r w:rsidR="0023682D" w:rsidRPr="00C40B08">
        <w:rPr>
          <w:rFonts w:ascii="Calibri" w:hAnsi="Calibri"/>
        </w:rPr>
        <w:t>similar</w:t>
      </w:r>
      <w:r w:rsidR="009E0A50" w:rsidRPr="00C40B08">
        <w:rPr>
          <w:rFonts w:ascii="Calibri" w:hAnsi="Calibri"/>
        </w:rPr>
        <w:t xml:space="preserve"> efficiency</w:t>
      </w:r>
      <w:r w:rsidR="0023682D" w:rsidRPr="00C40B08">
        <w:rPr>
          <w:rFonts w:ascii="Calibri" w:hAnsi="Calibri"/>
        </w:rPr>
        <w:t xml:space="preserve"> policies</w:t>
      </w:r>
      <w:r w:rsidR="009E0A50" w:rsidRPr="00C40B08">
        <w:rPr>
          <w:rFonts w:ascii="Calibri" w:hAnsi="Calibri"/>
        </w:rPr>
        <w:t>.</w:t>
      </w:r>
      <w:r w:rsidR="0023682D" w:rsidRPr="00C40B08">
        <w:rPr>
          <w:rFonts w:ascii="Calibri" w:hAnsi="Calibri"/>
        </w:rPr>
        <w:t xml:space="preserve"> </w:t>
      </w:r>
      <w:r w:rsidR="00CB257A" w:rsidRPr="00C40B08">
        <w:rPr>
          <w:rFonts w:ascii="Calibri" w:hAnsi="Calibri"/>
        </w:rPr>
        <w:t>Their</w:t>
      </w:r>
      <w:r w:rsidR="0023682D" w:rsidRPr="00C40B08">
        <w:rPr>
          <w:rFonts w:ascii="Calibri" w:hAnsi="Calibri"/>
        </w:rPr>
        <w:t xml:space="preserve"> ex-post </w:t>
      </w:r>
      <w:r w:rsidR="009E0A50" w:rsidRPr="00C40B08">
        <w:rPr>
          <w:rFonts w:ascii="Calibri" w:hAnsi="Calibri"/>
        </w:rPr>
        <w:t>analysis of the underlying</w:t>
      </w:r>
      <w:r w:rsidRPr="00C40B08">
        <w:rPr>
          <w:rFonts w:ascii="Calibri" w:hAnsi="Calibri"/>
        </w:rPr>
        <w:t xml:space="preserve"> policy supply curve </w:t>
      </w:r>
      <w:r w:rsidR="009E0A50" w:rsidRPr="00C40B08">
        <w:rPr>
          <w:rFonts w:ascii="Calibri" w:hAnsi="Calibri"/>
        </w:rPr>
        <w:t>produces costs</w:t>
      </w:r>
      <w:r w:rsidRPr="00C40B08">
        <w:rPr>
          <w:rFonts w:ascii="Calibri" w:hAnsi="Calibri"/>
        </w:rPr>
        <w:t xml:space="preserve"> ranging </w:t>
      </w:r>
      <w:r w:rsidR="00297A78" w:rsidRPr="00C40B08">
        <w:rPr>
          <w:rFonts w:ascii="Calibri" w:hAnsi="Calibri"/>
        </w:rPr>
        <w:t xml:space="preserve">from 0.5 to 8.1¢/kWh. </w:t>
      </w:r>
      <w:r w:rsidR="00CB257A" w:rsidRPr="00C40B08">
        <w:rPr>
          <w:rFonts w:ascii="Calibri" w:hAnsi="Calibri"/>
        </w:rPr>
        <w:t xml:space="preserve">EPA (2015a) produces a slightly </w:t>
      </w:r>
      <w:r w:rsidR="009E0A50" w:rsidRPr="00C40B08">
        <w:rPr>
          <w:rFonts w:ascii="Calibri" w:hAnsi="Calibri"/>
        </w:rPr>
        <w:t>lower estimate of</w:t>
      </w:r>
      <w:r w:rsidR="00DB5939" w:rsidRPr="00C40B08">
        <w:rPr>
          <w:rFonts w:ascii="Calibri" w:hAnsi="Calibri"/>
        </w:rPr>
        <w:t xml:space="preserve"> 325 </w:t>
      </w:r>
      <w:proofErr w:type="spellStart"/>
      <w:r w:rsidR="00DB5939" w:rsidRPr="00C40B08">
        <w:rPr>
          <w:rFonts w:ascii="Calibri" w:hAnsi="Calibri"/>
        </w:rPr>
        <w:t>TWh</w:t>
      </w:r>
      <w:proofErr w:type="spellEnd"/>
      <w:r w:rsidR="00DB5939" w:rsidRPr="00C40B08">
        <w:rPr>
          <w:rFonts w:ascii="Calibri" w:hAnsi="Calibri"/>
        </w:rPr>
        <w:t xml:space="preserve"> </w:t>
      </w:r>
      <w:r w:rsidR="00486415" w:rsidRPr="00C40B08">
        <w:rPr>
          <w:rFonts w:ascii="Calibri" w:hAnsi="Calibri"/>
        </w:rPr>
        <w:t xml:space="preserve">based on the assumption that </w:t>
      </w:r>
      <w:r w:rsidR="009E0A50" w:rsidRPr="00C40B08">
        <w:rPr>
          <w:rFonts w:ascii="Calibri" w:hAnsi="Calibri"/>
        </w:rPr>
        <w:t xml:space="preserve">each year </w:t>
      </w:r>
      <w:r w:rsidR="00486415" w:rsidRPr="00C40B08">
        <w:rPr>
          <w:rFonts w:ascii="Calibri" w:hAnsi="Calibri"/>
        </w:rPr>
        <w:t xml:space="preserve">incremental energy efficiency would </w:t>
      </w:r>
      <w:r w:rsidR="009E0A50" w:rsidRPr="00C40B08">
        <w:rPr>
          <w:rFonts w:ascii="Calibri" w:hAnsi="Calibri"/>
        </w:rPr>
        <w:t xml:space="preserve">grow by </w:t>
      </w:r>
      <w:r w:rsidR="00486415" w:rsidRPr="00C40B08">
        <w:rPr>
          <w:rFonts w:ascii="Calibri" w:hAnsi="Calibri"/>
        </w:rPr>
        <w:t xml:space="preserve">1% of </w:t>
      </w:r>
      <w:r w:rsidR="001D3A7B" w:rsidRPr="00C40B08">
        <w:rPr>
          <w:rFonts w:ascii="Calibri" w:hAnsi="Calibri"/>
        </w:rPr>
        <w:t xml:space="preserve">the </w:t>
      </w:r>
      <w:r w:rsidR="009E0A50" w:rsidRPr="00C40B08">
        <w:rPr>
          <w:rFonts w:ascii="Calibri" w:hAnsi="Calibri"/>
        </w:rPr>
        <w:t>current annual savings rate</w:t>
      </w:r>
      <w:r w:rsidR="00486415" w:rsidRPr="00C40B08">
        <w:rPr>
          <w:rFonts w:ascii="Calibri" w:hAnsi="Calibri"/>
        </w:rPr>
        <w:t xml:space="preserve">. </w:t>
      </w:r>
      <w:r w:rsidR="00CB257A" w:rsidRPr="00C40B08">
        <w:rPr>
          <w:rFonts w:ascii="Calibri" w:hAnsi="Calibri"/>
        </w:rPr>
        <w:t>M.J. Bradley &amp; Associates (2016) uses a</w:t>
      </w:r>
      <w:r w:rsidR="009E0A50" w:rsidRPr="00C40B08">
        <w:rPr>
          <w:rFonts w:ascii="Calibri" w:hAnsi="Calibri"/>
        </w:rPr>
        <w:t xml:space="preserve"> similar methodology to estimate incremental energy efficiency </w:t>
      </w:r>
      <w:r w:rsidR="001812C4" w:rsidRPr="00C40B08">
        <w:rPr>
          <w:rFonts w:ascii="Calibri" w:hAnsi="Calibri"/>
        </w:rPr>
        <w:t>with a growth rate ranging</w:t>
      </w:r>
      <w:r w:rsidR="009E0A50" w:rsidRPr="00C40B08">
        <w:rPr>
          <w:rFonts w:ascii="Calibri" w:hAnsi="Calibri"/>
        </w:rPr>
        <w:t xml:space="preserve"> from 1 to 2%, producing </w:t>
      </w:r>
      <w:r w:rsidR="001812C4" w:rsidRPr="00C40B08">
        <w:rPr>
          <w:rFonts w:ascii="Calibri" w:hAnsi="Calibri"/>
        </w:rPr>
        <w:t xml:space="preserve">a range with </w:t>
      </w:r>
      <w:r w:rsidR="009E0A50" w:rsidRPr="00C40B08">
        <w:rPr>
          <w:rFonts w:ascii="Calibri" w:hAnsi="Calibri"/>
        </w:rPr>
        <w:t>an upper bound that is approximately twice that of EPA</w:t>
      </w:r>
      <w:r w:rsidR="001812C4" w:rsidRPr="00C40B08">
        <w:rPr>
          <w:rFonts w:ascii="Calibri" w:hAnsi="Calibri"/>
        </w:rPr>
        <w:t xml:space="preserve">: </w:t>
      </w:r>
      <w:r w:rsidR="001D3A7B" w:rsidRPr="00C40B08">
        <w:rPr>
          <w:rFonts w:ascii="Calibri" w:hAnsi="Calibri"/>
        </w:rPr>
        <w:t xml:space="preserve">347-587 </w:t>
      </w:r>
      <w:proofErr w:type="spellStart"/>
      <w:r w:rsidR="001D3A7B" w:rsidRPr="00C40B08">
        <w:rPr>
          <w:rFonts w:ascii="Calibri" w:hAnsi="Calibri"/>
        </w:rPr>
        <w:t>TWh</w:t>
      </w:r>
      <w:proofErr w:type="spellEnd"/>
      <w:r w:rsidR="00297A78" w:rsidRPr="00C40B08">
        <w:rPr>
          <w:rFonts w:ascii="Calibri" w:hAnsi="Calibri"/>
        </w:rPr>
        <w:t>.</w:t>
      </w:r>
    </w:p>
    <w:p w14:paraId="6B4FCE9B" w14:textId="482F291F" w:rsidR="00DB5939" w:rsidRPr="00C40B08" w:rsidRDefault="00437428" w:rsidP="000656C9">
      <w:pPr>
        <w:spacing w:before="100" w:beforeAutospacing="1" w:after="100" w:afterAutospacing="1" w:line="276" w:lineRule="auto"/>
        <w:rPr>
          <w:rFonts w:ascii="Calibri" w:hAnsi="Calibri"/>
        </w:rPr>
      </w:pPr>
      <w:r w:rsidRPr="00C40B08">
        <w:rPr>
          <w:rFonts w:ascii="Calibri" w:hAnsi="Calibri"/>
        </w:rPr>
        <w:t>Several</w:t>
      </w:r>
      <w:r w:rsidR="00073288" w:rsidRPr="00C40B08">
        <w:rPr>
          <w:rFonts w:ascii="Calibri" w:hAnsi="Calibri"/>
        </w:rPr>
        <w:t xml:space="preserve"> analyses of the </w:t>
      </w:r>
      <w:r w:rsidR="00AB55CA" w:rsidRPr="00C40B08">
        <w:rPr>
          <w:rFonts w:ascii="Calibri" w:hAnsi="Calibri"/>
        </w:rPr>
        <w:t>CPP</w:t>
      </w:r>
      <w:r w:rsidR="00654C44" w:rsidRPr="00C40B08">
        <w:rPr>
          <w:rFonts w:ascii="Calibri" w:hAnsi="Calibri"/>
        </w:rPr>
        <w:t xml:space="preserve"> </w:t>
      </w:r>
      <w:r w:rsidR="00073288" w:rsidRPr="00C40B08">
        <w:rPr>
          <w:rFonts w:ascii="Calibri" w:hAnsi="Calibri"/>
        </w:rPr>
        <w:t xml:space="preserve">have estimated </w:t>
      </w:r>
      <w:r w:rsidRPr="00C40B08">
        <w:rPr>
          <w:rFonts w:ascii="Calibri" w:hAnsi="Calibri"/>
        </w:rPr>
        <w:t>relatively small</w:t>
      </w:r>
      <w:r w:rsidR="00073288" w:rsidRPr="00C40B08">
        <w:rPr>
          <w:rFonts w:ascii="Calibri" w:hAnsi="Calibri"/>
        </w:rPr>
        <w:t xml:space="preserve"> energy-efficiency gains, such as the 244 </w:t>
      </w:r>
      <w:proofErr w:type="spellStart"/>
      <w:r w:rsidR="00073288" w:rsidRPr="00C40B08">
        <w:rPr>
          <w:rFonts w:ascii="Calibri" w:hAnsi="Calibri"/>
        </w:rPr>
        <w:t>TWh</w:t>
      </w:r>
      <w:proofErr w:type="spellEnd"/>
      <w:r w:rsidR="00073288" w:rsidRPr="00C40B08">
        <w:rPr>
          <w:rFonts w:ascii="Calibri" w:hAnsi="Calibri"/>
        </w:rPr>
        <w:t xml:space="preserve"> estimate</w:t>
      </w:r>
      <w:r w:rsidR="00DB5939" w:rsidRPr="00C40B08">
        <w:rPr>
          <w:rFonts w:ascii="Calibri" w:hAnsi="Calibri"/>
        </w:rPr>
        <w:t xml:space="preserve"> by Rhodium (2016) (with </w:t>
      </w:r>
      <w:r w:rsidR="00F0087F" w:rsidRPr="00C40B08">
        <w:rPr>
          <w:rFonts w:ascii="Calibri" w:hAnsi="Calibri"/>
        </w:rPr>
        <w:t>average efficiency costs of 7.8</w:t>
      </w:r>
      <w:r w:rsidR="00DB5939" w:rsidRPr="00C40B08">
        <w:rPr>
          <w:rFonts w:ascii="Calibri" w:hAnsi="Calibri"/>
        </w:rPr>
        <w:t xml:space="preserve">¢/kWh), and </w:t>
      </w:r>
      <w:r w:rsidR="00073288" w:rsidRPr="00C40B08">
        <w:rPr>
          <w:rFonts w:ascii="Calibri" w:hAnsi="Calibri"/>
        </w:rPr>
        <w:t xml:space="preserve">the 238 </w:t>
      </w:r>
      <w:proofErr w:type="spellStart"/>
      <w:r w:rsidR="00073288" w:rsidRPr="00C40B08">
        <w:rPr>
          <w:rFonts w:ascii="Calibri" w:hAnsi="Calibri"/>
        </w:rPr>
        <w:t>TWh</w:t>
      </w:r>
      <w:proofErr w:type="spellEnd"/>
      <w:r w:rsidR="00073288" w:rsidRPr="00C40B08">
        <w:rPr>
          <w:rFonts w:ascii="Calibri" w:hAnsi="Calibri"/>
        </w:rPr>
        <w:t xml:space="preserve"> estimate</w:t>
      </w:r>
      <w:r w:rsidR="00DB5939" w:rsidRPr="00C40B08">
        <w:rPr>
          <w:rFonts w:ascii="Calibri" w:hAnsi="Calibri"/>
        </w:rPr>
        <w:t xml:space="preserve"> by NERA Economic Consulting (2014) (with a</w:t>
      </w:r>
      <w:r w:rsidR="00F0087F" w:rsidRPr="00C40B08">
        <w:rPr>
          <w:rFonts w:ascii="Calibri" w:hAnsi="Calibri"/>
        </w:rPr>
        <w:t>verage efficiency costs of 12.5</w:t>
      </w:r>
      <w:r w:rsidR="00DB5939" w:rsidRPr="00C40B08">
        <w:rPr>
          <w:rFonts w:ascii="Calibri" w:hAnsi="Calibri"/>
        </w:rPr>
        <w:t xml:space="preserve">¢/kWh). </w:t>
      </w:r>
      <w:r w:rsidR="00073288" w:rsidRPr="00C40B08">
        <w:rPr>
          <w:rFonts w:ascii="Calibri" w:hAnsi="Calibri"/>
        </w:rPr>
        <w:t xml:space="preserve">At the lowest end of the spectrum are the estimates of incremental energy </w:t>
      </w:r>
      <w:r w:rsidR="00073288" w:rsidRPr="00C40B08">
        <w:rPr>
          <w:rFonts w:ascii="Calibri" w:hAnsi="Calibri"/>
        </w:rPr>
        <w:lastRenderedPageBreak/>
        <w:t>efficiency under mass-based compliance</w:t>
      </w:r>
      <w:r w:rsidR="00F0087F" w:rsidRPr="00C40B08">
        <w:rPr>
          <w:rFonts w:ascii="Calibri" w:hAnsi="Calibri"/>
        </w:rPr>
        <w:t xml:space="preserve"> metrics</w:t>
      </w:r>
      <w:r w:rsidR="00073288" w:rsidRPr="00C40B08">
        <w:rPr>
          <w:rFonts w:ascii="Calibri" w:hAnsi="Calibri"/>
        </w:rPr>
        <w:t xml:space="preserve"> produced by EIA. The first is from its evaluation of the draft CPP</w:t>
      </w:r>
      <w:r w:rsidR="00DB5939" w:rsidRPr="00C40B08">
        <w:rPr>
          <w:rFonts w:ascii="Calibri" w:hAnsi="Calibri"/>
        </w:rPr>
        <w:t xml:space="preserve"> </w:t>
      </w:r>
      <w:r w:rsidR="004C1007" w:rsidRPr="00C40B08">
        <w:rPr>
          <w:rFonts w:ascii="Calibri" w:hAnsi="Calibri"/>
        </w:rPr>
        <w:t xml:space="preserve">regulations </w:t>
      </w:r>
      <w:r w:rsidR="00DB5939" w:rsidRPr="00C40B08">
        <w:rPr>
          <w:rFonts w:ascii="Calibri" w:hAnsi="Calibri"/>
        </w:rPr>
        <w:t>where incremental efficiency</w:t>
      </w:r>
      <w:r w:rsidR="00073288" w:rsidRPr="00C40B08">
        <w:rPr>
          <w:rFonts w:ascii="Calibri" w:hAnsi="Calibri"/>
        </w:rPr>
        <w:t xml:space="preserve"> was estimated to be 81 </w:t>
      </w:r>
      <w:proofErr w:type="spellStart"/>
      <w:r w:rsidR="00073288" w:rsidRPr="00C40B08">
        <w:rPr>
          <w:rFonts w:ascii="Calibri" w:hAnsi="Calibri"/>
        </w:rPr>
        <w:t>TWh</w:t>
      </w:r>
      <w:proofErr w:type="spellEnd"/>
      <w:r w:rsidR="00073288" w:rsidRPr="00C40B08">
        <w:rPr>
          <w:rFonts w:ascii="Calibri" w:hAnsi="Calibri"/>
        </w:rPr>
        <w:t xml:space="preserve"> in </w:t>
      </w:r>
      <w:r w:rsidR="004C1007" w:rsidRPr="00C40B08">
        <w:rPr>
          <w:rFonts w:ascii="Calibri" w:hAnsi="Calibri"/>
        </w:rPr>
        <w:t>(</w:t>
      </w:r>
      <w:r w:rsidR="00D35686" w:rsidRPr="00C40B08">
        <w:rPr>
          <w:rFonts w:ascii="Calibri" w:hAnsi="Calibri"/>
        </w:rPr>
        <w:t>US EIA</w:t>
      </w:r>
      <w:r w:rsidR="004C1007" w:rsidRPr="00C40B08">
        <w:rPr>
          <w:rFonts w:ascii="Calibri" w:hAnsi="Calibri"/>
        </w:rPr>
        <w:t xml:space="preserve">, </w:t>
      </w:r>
      <w:r w:rsidR="00DB5939" w:rsidRPr="00C40B08">
        <w:rPr>
          <w:rFonts w:ascii="Calibri" w:hAnsi="Calibri"/>
        </w:rPr>
        <w:t xml:space="preserve">2015b, Table 18) and </w:t>
      </w:r>
      <w:r w:rsidR="00073288" w:rsidRPr="00C40B08">
        <w:rPr>
          <w:rFonts w:ascii="Calibri" w:hAnsi="Calibri"/>
        </w:rPr>
        <w:t xml:space="preserve">the second is from </w:t>
      </w:r>
      <w:r w:rsidR="00F357D4" w:rsidRPr="00C40B08">
        <w:rPr>
          <w:rFonts w:ascii="Calibri" w:hAnsi="Calibri"/>
        </w:rPr>
        <w:t>its</w:t>
      </w:r>
      <w:r w:rsidR="00DB5939" w:rsidRPr="00C40B08">
        <w:rPr>
          <w:rFonts w:ascii="Calibri" w:hAnsi="Calibri"/>
        </w:rPr>
        <w:t xml:space="preserve"> analysis of the CPP </w:t>
      </w:r>
      <w:r w:rsidR="004C1007" w:rsidRPr="00C40B08">
        <w:rPr>
          <w:rFonts w:ascii="Calibri" w:hAnsi="Calibri"/>
        </w:rPr>
        <w:t xml:space="preserve">final rule </w:t>
      </w:r>
      <w:r w:rsidR="00DB5939" w:rsidRPr="00C40B08">
        <w:rPr>
          <w:rFonts w:ascii="Calibri" w:hAnsi="Calibri"/>
        </w:rPr>
        <w:t>where</w:t>
      </w:r>
      <w:r w:rsidR="00073288" w:rsidRPr="00C40B08">
        <w:rPr>
          <w:rFonts w:ascii="Calibri" w:hAnsi="Calibri"/>
        </w:rPr>
        <w:t xml:space="preserve"> incremental energy eff</w:t>
      </w:r>
      <w:r w:rsidR="00F0087F" w:rsidRPr="00C40B08">
        <w:rPr>
          <w:rFonts w:ascii="Calibri" w:hAnsi="Calibri"/>
        </w:rPr>
        <w:t>iciency is estima</w:t>
      </w:r>
      <w:r w:rsidR="00E64554" w:rsidRPr="00C40B08">
        <w:rPr>
          <w:rFonts w:ascii="Calibri" w:hAnsi="Calibri"/>
        </w:rPr>
        <w:t>t</w:t>
      </w:r>
      <w:r w:rsidR="00073288" w:rsidRPr="00C40B08">
        <w:rPr>
          <w:rFonts w:ascii="Calibri" w:hAnsi="Calibri"/>
        </w:rPr>
        <w:t>ed</w:t>
      </w:r>
      <w:r w:rsidR="00DB5939" w:rsidRPr="00C40B08">
        <w:rPr>
          <w:rFonts w:ascii="Calibri" w:hAnsi="Calibri"/>
        </w:rPr>
        <w:t xml:space="preserve"> </w:t>
      </w:r>
      <w:r w:rsidR="00073288" w:rsidRPr="00C40B08">
        <w:rPr>
          <w:rFonts w:ascii="Calibri" w:hAnsi="Calibri"/>
        </w:rPr>
        <w:t xml:space="preserve">to be 76 </w:t>
      </w:r>
      <w:proofErr w:type="spellStart"/>
      <w:r w:rsidR="00073288" w:rsidRPr="00C40B08">
        <w:rPr>
          <w:rFonts w:ascii="Calibri" w:hAnsi="Calibri"/>
        </w:rPr>
        <w:t>TWh</w:t>
      </w:r>
      <w:proofErr w:type="spellEnd"/>
      <w:r w:rsidR="00073288" w:rsidRPr="00C40B08">
        <w:rPr>
          <w:rFonts w:ascii="Calibri" w:hAnsi="Calibri"/>
        </w:rPr>
        <w:t xml:space="preserve"> in 2030 </w:t>
      </w:r>
      <w:r w:rsidR="00DB5939" w:rsidRPr="00C40B08">
        <w:rPr>
          <w:rFonts w:ascii="Calibri" w:hAnsi="Calibri"/>
        </w:rPr>
        <w:t>(Martin and Jones, 2016).</w:t>
      </w:r>
      <w:r w:rsidR="00F0087F" w:rsidRPr="00C40B08">
        <w:rPr>
          <w:rFonts w:ascii="Calibri" w:hAnsi="Calibri"/>
        </w:rPr>
        <w:t xml:space="preserve"> These studies deploy NEMS, which has conservative assumptions about discount rates and rates of improvement of end-use technologies, which has motivated us to first improve the modeling of energy efficiency in NEMS before deploying it to understand the role that energy efficiency might play in </w:t>
      </w:r>
      <w:r w:rsidR="001F1408" w:rsidRPr="00C40B08">
        <w:rPr>
          <w:rFonts w:ascii="Calibri" w:hAnsi="Calibri"/>
        </w:rPr>
        <w:t>CO</w:t>
      </w:r>
      <w:r w:rsidR="001F1408" w:rsidRPr="00C40B08">
        <w:rPr>
          <w:rFonts w:ascii="Calibri" w:hAnsi="Calibri"/>
          <w:vertAlign w:val="subscript"/>
        </w:rPr>
        <w:t>2</w:t>
      </w:r>
      <w:r w:rsidR="001F1408" w:rsidRPr="00C40B08">
        <w:rPr>
          <w:rFonts w:ascii="Calibri" w:hAnsi="Calibri"/>
        </w:rPr>
        <w:t xml:space="preserve"> mitigation pathways</w:t>
      </w:r>
      <w:r w:rsidR="00F0087F" w:rsidRPr="00C40B08">
        <w:rPr>
          <w:rFonts w:ascii="Calibri" w:hAnsi="Calibri"/>
        </w:rPr>
        <w:t>.</w:t>
      </w:r>
    </w:p>
    <w:p w14:paraId="7B7B2E18" w14:textId="4AC3B299" w:rsidR="00370244" w:rsidRPr="00C40B08" w:rsidRDefault="00807191" w:rsidP="000656C9">
      <w:pPr>
        <w:spacing w:before="100" w:beforeAutospacing="1" w:after="100" w:afterAutospacing="1" w:line="276" w:lineRule="auto"/>
        <w:rPr>
          <w:rFonts w:ascii="Calibri" w:hAnsi="Calibri"/>
        </w:rPr>
      </w:pPr>
      <w:r w:rsidRPr="00C40B08">
        <w:rPr>
          <w:rFonts w:ascii="Calibri" w:hAnsi="Calibri"/>
        </w:rPr>
        <w:t xml:space="preserve">The comparison given above demonstrates the improvements of the GT-NEMS modeling approach combined with the scenario assumptions over prior modeling assumptions. </w:t>
      </w:r>
      <w:r w:rsidR="00731C42" w:rsidRPr="00C40B08">
        <w:rPr>
          <w:rFonts w:ascii="Calibri" w:hAnsi="Calibri"/>
        </w:rPr>
        <w:t xml:space="preserve">The GT-NEMS modeling approach used in this research overcomes </w:t>
      </w:r>
      <w:r w:rsidR="00F357D4" w:rsidRPr="00C40B08">
        <w:rPr>
          <w:rFonts w:ascii="Calibri" w:hAnsi="Calibri"/>
        </w:rPr>
        <w:t xml:space="preserve">some of </w:t>
      </w:r>
      <w:r w:rsidR="00731C42" w:rsidRPr="00C40B08">
        <w:rPr>
          <w:rFonts w:ascii="Calibri" w:hAnsi="Calibri"/>
        </w:rPr>
        <w:t xml:space="preserve">the conservative and </w:t>
      </w:r>
      <w:r w:rsidR="00F357D4" w:rsidRPr="00C40B08">
        <w:rPr>
          <w:rFonts w:ascii="Calibri" w:hAnsi="Calibri"/>
        </w:rPr>
        <w:t>outdated</w:t>
      </w:r>
      <w:r w:rsidR="00731C42" w:rsidRPr="00C40B08">
        <w:rPr>
          <w:rFonts w:ascii="Calibri" w:hAnsi="Calibri"/>
        </w:rPr>
        <w:t xml:space="preserve"> assumptions in NEMS</w:t>
      </w:r>
      <w:r w:rsidR="00F357D4" w:rsidRPr="00C40B08">
        <w:rPr>
          <w:rFonts w:ascii="Calibri" w:hAnsi="Calibri"/>
        </w:rPr>
        <w:t xml:space="preserve"> (e.g., slow technology advancement and high discount rates)</w:t>
      </w:r>
      <w:r w:rsidR="00731C42" w:rsidRPr="00C40B08">
        <w:rPr>
          <w:rFonts w:ascii="Calibri" w:hAnsi="Calibri"/>
        </w:rPr>
        <w:t xml:space="preserve">. The GT-NEMS modeling approach used in this research also enables endogenous modeling of energy efficiency, overcoming the shortcomings in prior modeling </w:t>
      </w:r>
      <w:r w:rsidR="00F357D4" w:rsidRPr="00C40B08">
        <w:rPr>
          <w:rFonts w:ascii="Calibri" w:hAnsi="Calibri"/>
        </w:rPr>
        <w:t>of</w:t>
      </w:r>
      <w:r w:rsidR="00731C42" w:rsidRPr="00C40B08">
        <w:rPr>
          <w:rFonts w:ascii="Calibri" w:hAnsi="Calibri"/>
        </w:rPr>
        <w:t xml:space="preserve"> energy efficiency </w:t>
      </w:r>
      <w:r w:rsidR="00F357D4" w:rsidRPr="00C40B08">
        <w:rPr>
          <w:rFonts w:ascii="Calibri" w:hAnsi="Calibri"/>
        </w:rPr>
        <w:t>as a CO</w:t>
      </w:r>
      <w:r w:rsidR="00F357D4" w:rsidRPr="00C40B08">
        <w:rPr>
          <w:rFonts w:ascii="Calibri" w:hAnsi="Calibri"/>
          <w:vertAlign w:val="subscript"/>
        </w:rPr>
        <w:t>2</w:t>
      </w:r>
      <w:r w:rsidR="00F357D4" w:rsidRPr="00C40B08">
        <w:rPr>
          <w:rFonts w:ascii="Calibri" w:hAnsi="Calibri"/>
        </w:rPr>
        <w:t xml:space="preserve"> mitigation option</w:t>
      </w:r>
      <w:r w:rsidR="00731C42" w:rsidRPr="00C40B08">
        <w:rPr>
          <w:rFonts w:ascii="Calibri" w:hAnsi="Calibri"/>
        </w:rPr>
        <w:t xml:space="preserve">. </w:t>
      </w:r>
      <w:r w:rsidR="003D0F40" w:rsidRPr="00C40B08">
        <w:rPr>
          <w:rFonts w:ascii="Calibri" w:hAnsi="Calibri"/>
        </w:rPr>
        <w:t>Our GT-NEMS modeling approach does not simply lead to more energy efficiency being de</w:t>
      </w:r>
      <w:r w:rsidR="00F357D4" w:rsidRPr="00C40B08">
        <w:rPr>
          <w:rFonts w:ascii="Calibri" w:hAnsi="Calibri"/>
        </w:rPr>
        <w:t>ployed and does not represent a simple</w:t>
      </w:r>
      <w:r w:rsidR="003D0F40" w:rsidRPr="00C40B08">
        <w:rPr>
          <w:rFonts w:ascii="Calibri" w:hAnsi="Calibri"/>
        </w:rPr>
        <w:t xml:space="preserve"> “energy efficiency boost.” Thanks to the sophisticated and detailed modeling in GT-NEMS, the outcomes are more nuanced</w:t>
      </w:r>
      <w:r w:rsidR="00B04729" w:rsidRPr="00C40B08">
        <w:rPr>
          <w:rFonts w:ascii="Calibri" w:hAnsi="Calibri"/>
        </w:rPr>
        <w:t>, revealing</w:t>
      </w:r>
      <w:r w:rsidR="003D0F40" w:rsidRPr="00C40B08">
        <w:rPr>
          <w:rFonts w:ascii="Calibri" w:hAnsi="Calibri"/>
        </w:rPr>
        <w:t xml:space="preserve"> </w:t>
      </w:r>
      <w:r w:rsidR="00C83CDF" w:rsidRPr="00C40B08">
        <w:rPr>
          <w:rFonts w:ascii="Calibri" w:hAnsi="Calibri"/>
        </w:rPr>
        <w:t xml:space="preserve">new insights about </w:t>
      </w:r>
      <w:r w:rsidR="00B04729" w:rsidRPr="00C40B08">
        <w:rPr>
          <w:rFonts w:ascii="Calibri" w:hAnsi="Calibri"/>
        </w:rPr>
        <w:t>possible roles for</w:t>
      </w:r>
      <w:r w:rsidR="00C83CDF" w:rsidRPr="00C40B08">
        <w:rPr>
          <w:rFonts w:ascii="Calibri" w:hAnsi="Calibri"/>
        </w:rPr>
        <w:t xml:space="preserve"> energy efficiency in</w:t>
      </w:r>
      <w:r w:rsidR="00B04729" w:rsidRPr="00C40B08">
        <w:rPr>
          <w:rFonts w:ascii="Calibri" w:hAnsi="Calibri"/>
        </w:rPr>
        <w:t xml:space="preserve"> complying with</w:t>
      </w:r>
      <w:r w:rsidR="00C83CDF" w:rsidRPr="00C40B08">
        <w:rPr>
          <w:rFonts w:ascii="Calibri" w:hAnsi="Calibri"/>
        </w:rPr>
        <w:t xml:space="preserve"> </w:t>
      </w:r>
      <w:r w:rsidR="00B04729" w:rsidRPr="00C40B08">
        <w:rPr>
          <w:rFonts w:ascii="Calibri" w:hAnsi="Calibri"/>
        </w:rPr>
        <w:t>CO</w:t>
      </w:r>
      <w:r w:rsidR="00B04729" w:rsidRPr="00C40B08">
        <w:rPr>
          <w:rFonts w:ascii="Calibri" w:hAnsi="Calibri"/>
          <w:vertAlign w:val="subscript"/>
        </w:rPr>
        <w:t>2</w:t>
      </w:r>
      <w:r w:rsidR="00B04729" w:rsidRPr="00C40B08">
        <w:rPr>
          <w:rFonts w:ascii="Calibri" w:hAnsi="Calibri"/>
        </w:rPr>
        <w:t xml:space="preserve"> caps</w:t>
      </w:r>
      <w:r w:rsidR="00F83A6D" w:rsidRPr="00C40B08">
        <w:rPr>
          <w:rFonts w:ascii="Calibri" w:hAnsi="Calibri"/>
        </w:rPr>
        <w:t>, as describe</w:t>
      </w:r>
      <w:r w:rsidR="00B04729" w:rsidRPr="00C40B08">
        <w:rPr>
          <w:rFonts w:ascii="Calibri" w:hAnsi="Calibri"/>
        </w:rPr>
        <w:t>d below</w:t>
      </w:r>
      <w:r w:rsidR="00C83CDF" w:rsidRPr="00C40B08">
        <w:rPr>
          <w:rFonts w:ascii="Calibri" w:hAnsi="Calibri"/>
        </w:rPr>
        <w:t xml:space="preserve">. </w:t>
      </w:r>
    </w:p>
    <w:p w14:paraId="0984F2A1" w14:textId="66AE6604" w:rsidR="00775307" w:rsidRPr="00C40B08" w:rsidRDefault="00690911" w:rsidP="000656C9">
      <w:pPr>
        <w:pStyle w:val="ListParagraph"/>
        <w:numPr>
          <w:ilvl w:val="1"/>
          <w:numId w:val="1"/>
        </w:numPr>
        <w:spacing w:line="276" w:lineRule="auto"/>
        <w:outlineLvl w:val="1"/>
        <w:rPr>
          <w:rFonts w:ascii="Calibri" w:hAnsi="Calibri" w:cs="Times New Roman"/>
          <w:b/>
          <w:i/>
          <w:sz w:val="24"/>
          <w:szCs w:val="24"/>
        </w:rPr>
      </w:pPr>
      <w:r w:rsidRPr="00C40B08">
        <w:rPr>
          <w:rFonts w:ascii="Calibri" w:hAnsi="Calibri" w:cs="Times New Roman"/>
          <w:b/>
          <w:i/>
          <w:sz w:val="24"/>
          <w:szCs w:val="24"/>
        </w:rPr>
        <w:t xml:space="preserve">More affordable </w:t>
      </w:r>
      <w:r w:rsidR="00F357D4" w:rsidRPr="00C40B08">
        <w:rPr>
          <w:rFonts w:ascii="Calibri" w:hAnsi="Calibri" w:cs="Times New Roman"/>
          <w:b/>
          <w:i/>
          <w:sz w:val="24"/>
          <w:szCs w:val="24"/>
        </w:rPr>
        <w:t>CO</w:t>
      </w:r>
      <w:r w:rsidR="00F357D4" w:rsidRPr="00C40B08">
        <w:rPr>
          <w:rFonts w:ascii="Calibri" w:hAnsi="Calibri" w:cs="Times New Roman"/>
          <w:b/>
          <w:i/>
          <w:sz w:val="24"/>
          <w:szCs w:val="24"/>
          <w:vertAlign w:val="subscript"/>
        </w:rPr>
        <w:t>2</w:t>
      </w:r>
      <w:r w:rsidR="00F357D4" w:rsidRPr="00C40B08">
        <w:rPr>
          <w:rFonts w:ascii="Calibri" w:hAnsi="Calibri" w:cs="Times New Roman"/>
          <w:b/>
          <w:i/>
          <w:sz w:val="24"/>
          <w:szCs w:val="24"/>
        </w:rPr>
        <w:t xml:space="preserve"> mitigation</w:t>
      </w:r>
      <w:r w:rsidRPr="00C40B08">
        <w:rPr>
          <w:rFonts w:ascii="Calibri" w:hAnsi="Calibri" w:cs="Times New Roman"/>
          <w:b/>
          <w:i/>
          <w:sz w:val="24"/>
          <w:szCs w:val="24"/>
        </w:rPr>
        <w:t xml:space="preserve"> </w:t>
      </w:r>
    </w:p>
    <w:p w14:paraId="139E090F" w14:textId="4D9863E2" w:rsidR="00690911" w:rsidRPr="00C40B08" w:rsidRDefault="0066699D" w:rsidP="000656C9">
      <w:pPr>
        <w:spacing w:before="100" w:beforeAutospacing="1" w:after="100" w:afterAutospacing="1" w:line="276" w:lineRule="auto"/>
        <w:rPr>
          <w:rFonts w:ascii="Calibri" w:hAnsi="Calibri"/>
        </w:rPr>
      </w:pPr>
      <w:r w:rsidRPr="00C40B08">
        <w:rPr>
          <w:rFonts w:ascii="Calibri" w:hAnsi="Calibri"/>
        </w:rPr>
        <w:t>According to the Reference case forecast, e</w:t>
      </w:r>
      <w:r w:rsidR="00DB5939" w:rsidRPr="00C40B08">
        <w:rPr>
          <w:rFonts w:ascii="Calibri" w:hAnsi="Calibri"/>
        </w:rPr>
        <w:t>lectricity prices are expected to rise over the next several decades</w:t>
      </w:r>
      <w:r w:rsidR="00690911" w:rsidRPr="00C40B08">
        <w:rPr>
          <w:rFonts w:ascii="Calibri" w:hAnsi="Calibri"/>
        </w:rPr>
        <w:t xml:space="preserve">, increasing from </w:t>
      </w:r>
      <w:r w:rsidR="005A115E" w:rsidRPr="00C40B08">
        <w:rPr>
          <w:rFonts w:ascii="Calibri" w:hAnsi="Calibri"/>
        </w:rPr>
        <w:t>10.1</w:t>
      </w:r>
      <w:r w:rsidR="00690911" w:rsidRPr="00C40B08">
        <w:rPr>
          <w:rFonts w:ascii="Calibri" w:hAnsi="Calibri"/>
        </w:rPr>
        <w:t xml:space="preserve"> ¢/kWh </w:t>
      </w:r>
      <w:r w:rsidR="005A115E" w:rsidRPr="00C40B08">
        <w:rPr>
          <w:rFonts w:ascii="Calibri" w:hAnsi="Calibri"/>
        </w:rPr>
        <w:t>in 2015 to 10.</w:t>
      </w:r>
      <w:r w:rsidR="00587007" w:rsidRPr="00C40B08">
        <w:rPr>
          <w:rFonts w:ascii="Calibri" w:hAnsi="Calibri"/>
        </w:rPr>
        <w:t>7</w:t>
      </w:r>
      <w:r w:rsidR="00690911" w:rsidRPr="00C40B08">
        <w:rPr>
          <w:rFonts w:ascii="Calibri" w:hAnsi="Calibri"/>
        </w:rPr>
        <w:t xml:space="preserve"> ¢/kWh</w:t>
      </w:r>
      <w:r w:rsidR="005A115E" w:rsidRPr="00C40B08">
        <w:rPr>
          <w:rFonts w:ascii="Calibri" w:hAnsi="Calibri"/>
        </w:rPr>
        <w:t xml:space="preserve"> in 2030</w:t>
      </w:r>
      <w:r w:rsidR="00690911" w:rsidRPr="00C40B08">
        <w:rPr>
          <w:rFonts w:ascii="Calibri" w:hAnsi="Calibri"/>
        </w:rPr>
        <w:t xml:space="preserve"> nationwide (Figure </w:t>
      </w:r>
      <w:r w:rsidR="005A115E" w:rsidRPr="00C40B08">
        <w:rPr>
          <w:rFonts w:ascii="Calibri" w:hAnsi="Calibri"/>
        </w:rPr>
        <w:t>2</w:t>
      </w:r>
      <w:r w:rsidR="001812C4" w:rsidRPr="00C40B08">
        <w:rPr>
          <w:rFonts w:ascii="Calibri" w:hAnsi="Calibri"/>
        </w:rPr>
        <w:t>). P</w:t>
      </w:r>
      <w:r w:rsidR="00690911" w:rsidRPr="00C40B08">
        <w:rPr>
          <w:rFonts w:ascii="Calibri" w:hAnsi="Calibri"/>
        </w:rPr>
        <w:t xml:space="preserve">rices would be similar or higher in 2030 under all of the </w:t>
      </w:r>
      <w:r w:rsidR="00517C30">
        <w:rPr>
          <w:rFonts w:ascii="Calibri" w:hAnsi="Calibri"/>
        </w:rPr>
        <w:t>mitigation</w:t>
      </w:r>
      <w:r w:rsidR="00690911" w:rsidRPr="00C40B08">
        <w:rPr>
          <w:rFonts w:ascii="Calibri" w:hAnsi="Calibri"/>
        </w:rPr>
        <w:t xml:space="preserve"> scenarios</w:t>
      </w:r>
      <w:r w:rsidR="00FB6079" w:rsidRPr="00C40B08">
        <w:rPr>
          <w:rFonts w:ascii="Calibri" w:hAnsi="Calibri"/>
        </w:rPr>
        <w:t xml:space="preserve"> and they remain higher than Reference case prices in both </w:t>
      </w:r>
      <w:r w:rsidR="00AD2619">
        <w:rPr>
          <w:rFonts w:ascii="Calibri" w:hAnsi="Calibri"/>
        </w:rPr>
        <w:t>mitigation</w:t>
      </w:r>
      <w:r w:rsidR="00FB6079" w:rsidRPr="00C40B08">
        <w:rPr>
          <w:rFonts w:ascii="Calibri" w:hAnsi="Calibri"/>
        </w:rPr>
        <w:t xml:space="preserve"> scenarios that do not include strong energy efficiency</w:t>
      </w:r>
      <w:r w:rsidR="00690911" w:rsidRPr="00C40B08">
        <w:rPr>
          <w:rFonts w:ascii="Calibri" w:hAnsi="Calibri"/>
        </w:rPr>
        <w:t xml:space="preserve">. </w:t>
      </w:r>
      <w:r w:rsidR="00FB6079" w:rsidRPr="00C40B08">
        <w:rPr>
          <w:rFonts w:ascii="Calibri" w:hAnsi="Calibri"/>
        </w:rPr>
        <w:t>In contrast</w:t>
      </w:r>
      <w:r w:rsidR="00690911" w:rsidRPr="00C40B08">
        <w:rPr>
          <w:rFonts w:ascii="Calibri" w:hAnsi="Calibri"/>
        </w:rPr>
        <w:t>, pr</w:t>
      </w:r>
      <w:r w:rsidR="005A115E" w:rsidRPr="00C40B08">
        <w:rPr>
          <w:rFonts w:ascii="Calibri" w:hAnsi="Calibri"/>
        </w:rPr>
        <w:t xml:space="preserve">ices in the </w:t>
      </w:r>
      <w:r w:rsidR="00AD2619">
        <w:rPr>
          <w:rFonts w:ascii="Calibri" w:hAnsi="Calibri"/>
        </w:rPr>
        <w:t>mitigation</w:t>
      </w:r>
      <w:r w:rsidR="005A115E" w:rsidRPr="00C40B08">
        <w:rPr>
          <w:rFonts w:ascii="Calibri" w:hAnsi="Calibri"/>
        </w:rPr>
        <w:t xml:space="preserve"> scenario </w:t>
      </w:r>
      <w:r w:rsidR="008222EF" w:rsidRPr="00C40B08">
        <w:rPr>
          <w:rFonts w:ascii="Calibri" w:hAnsi="Calibri"/>
        </w:rPr>
        <w:t xml:space="preserve">with energy efficiency </w:t>
      </w:r>
      <w:r w:rsidR="00FB6079" w:rsidRPr="00C40B08">
        <w:rPr>
          <w:rFonts w:ascii="Calibri" w:hAnsi="Calibri"/>
        </w:rPr>
        <w:t>remain</w:t>
      </w:r>
      <w:r w:rsidR="008222EF" w:rsidRPr="00C40B08">
        <w:rPr>
          <w:rFonts w:ascii="Calibri" w:hAnsi="Calibri"/>
        </w:rPr>
        <w:t xml:space="preserve"> lower until 2023, </w:t>
      </w:r>
      <w:r w:rsidR="00FB6079" w:rsidRPr="00C40B08">
        <w:rPr>
          <w:rFonts w:ascii="Calibri" w:hAnsi="Calibri"/>
        </w:rPr>
        <w:t xml:space="preserve">and after rising they return to Reference case prices by 2033 (when </w:t>
      </w:r>
      <w:r w:rsidR="005A115E" w:rsidRPr="00C40B08">
        <w:rPr>
          <w:rFonts w:ascii="Calibri" w:hAnsi="Calibri"/>
        </w:rPr>
        <w:t xml:space="preserve">regulating existing </w:t>
      </w:r>
      <w:r w:rsidR="00FB6079" w:rsidRPr="00C40B08">
        <w:rPr>
          <w:rFonts w:ascii="Calibri" w:hAnsi="Calibri"/>
        </w:rPr>
        <w:t>EGUs) or by 2040 (when regulating all EGUs).</w:t>
      </w:r>
      <w:r w:rsidR="00F52DE2" w:rsidRPr="00C40B08">
        <w:rPr>
          <w:rFonts w:ascii="Calibri" w:hAnsi="Calibri"/>
        </w:rPr>
        <w:t xml:space="preserve"> </w:t>
      </w:r>
      <w:r w:rsidR="00690911" w:rsidRPr="00C40B08">
        <w:rPr>
          <w:rFonts w:ascii="Calibri" w:hAnsi="Calibri"/>
        </w:rPr>
        <w:t xml:space="preserve">Other studies of </w:t>
      </w:r>
      <w:r w:rsidR="00F357D4" w:rsidRPr="00C40B08">
        <w:rPr>
          <w:rFonts w:ascii="Calibri" w:hAnsi="Calibri"/>
        </w:rPr>
        <w:t>CO</w:t>
      </w:r>
      <w:r w:rsidR="00F357D4" w:rsidRPr="00C40B08">
        <w:rPr>
          <w:rFonts w:ascii="Calibri" w:hAnsi="Calibri"/>
          <w:vertAlign w:val="subscript"/>
        </w:rPr>
        <w:t>2</w:t>
      </w:r>
      <w:r w:rsidR="00F357D4" w:rsidRPr="00C40B08">
        <w:rPr>
          <w:rFonts w:ascii="Calibri" w:hAnsi="Calibri"/>
        </w:rPr>
        <w:t xml:space="preserve"> caps</w:t>
      </w:r>
      <w:r w:rsidR="00690911" w:rsidRPr="00C40B08">
        <w:rPr>
          <w:rFonts w:ascii="Calibri" w:hAnsi="Calibri"/>
        </w:rPr>
        <w:t xml:space="preserve"> have concluded that retail prices would rise above </w:t>
      </w:r>
      <w:r w:rsidR="00410D41" w:rsidRPr="00C40B08">
        <w:rPr>
          <w:rFonts w:ascii="Calibri" w:hAnsi="Calibri"/>
        </w:rPr>
        <w:t xml:space="preserve">the business-as-usual forecast </w:t>
      </w:r>
      <w:r w:rsidR="00690911" w:rsidRPr="00C40B08">
        <w:rPr>
          <w:rFonts w:ascii="Calibri" w:hAnsi="Calibri"/>
        </w:rPr>
        <w:t xml:space="preserve">by 6.9% to 13% in </w:t>
      </w:r>
      <w:r w:rsidR="00410D41" w:rsidRPr="00C40B08">
        <w:rPr>
          <w:rFonts w:ascii="Calibri" w:hAnsi="Calibri"/>
        </w:rPr>
        <w:t>studies by</w:t>
      </w:r>
      <w:r w:rsidR="00690911" w:rsidRPr="00C40B08">
        <w:rPr>
          <w:rFonts w:ascii="Calibri" w:hAnsi="Calibri"/>
        </w:rPr>
        <w:t xml:space="preserve"> CATF </w:t>
      </w:r>
      <w:r w:rsidR="00410D41" w:rsidRPr="00C40B08">
        <w:rPr>
          <w:rFonts w:ascii="Calibri" w:hAnsi="Calibri"/>
        </w:rPr>
        <w:t>(2014)</w:t>
      </w:r>
      <w:r w:rsidR="00690911" w:rsidRPr="00C40B08">
        <w:rPr>
          <w:rFonts w:ascii="Calibri" w:hAnsi="Calibri"/>
        </w:rPr>
        <w:t>, NERA</w:t>
      </w:r>
      <w:r w:rsidR="00410D41" w:rsidRPr="00C40B08">
        <w:rPr>
          <w:rFonts w:ascii="Calibri" w:hAnsi="Calibri"/>
        </w:rPr>
        <w:t xml:space="preserve"> Economic Consulting (2015)</w:t>
      </w:r>
      <w:r w:rsidR="00690911" w:rsidRPr="00C40B08">
        <w:rPr>
          <w:rFonts w:ascii="Calibri" w:hAnsi="Calibri"/>
        </w:rPr>
        <w:t xml:space="preserve">, and Rhodium </w:t>
      </w:r>
      <w:r w:rsidR="00410D41" w:rsidRPr="00C40B08">
        <w:rPr>
          <w:rFonts w:ascii="Calibri" w:hAnsi="Calibri"/>
        </w:rPr>
        <w:t>(2015</w:t>
      </w:r>
      <w:r w:rsidR="00690911" w:rsidRPr="00C40B08">
        <w:rPr>
          <w:rFonts w:ascii="Calibri" w:hAnsi="Calibri"/>
        </w:rPr>
        <w:t xml:space="preserve">). Energy efficiency </w:t>
      </w:r>
      <w:r w:rsidR="005B0848" w:rsidRPr="00C40B08">
        <w:rPr>
          <w:rFonts w:ascii="Calibri" w:hAnsi="Calibri"/>
        </w:rPr>
        <w:t>does</w:t>
      </w:r>
      <w:r w:rsidR="00690911" w:rsidRPr="00C40B08">
        <w:rPr>
          <w:rFonts w:ascii="Calibri" w:hAnsi="Calibri"/>
        </w:rPr>
        <w:t xml:space="preserve"> not play as strong a role in the</w:t>
      </w:r>
      <w:r w:rsidR="00F52DE2" w:rsidRPr="00C40B08">
        <w:rPr>
          <w:rFonts w:ascii="Calibri" w:hAnsi="Calibri"/>
        </w:rPr>
        <w:t>se</w:t>
      </w:r>
      <w:r w:rsidR="00690911" w:rsidRPr="00C40B08">
        <w:rPr>
          <w:rFonts w:ascii="Calibri" w:hAnsi="Calibri"/>
        </w:rPr>
        <w:t xml:space="preserve"> </w:t>
      </w:r>
      <w:r w:rsidR="00AD2619">
        <w:rPr>
          <w:rFonts w:ascii="Calibri" w:hAnsi="Calibri"/>
        </w:rPr>
        <w:t>mitigation</w:t>
      </w:r>
      <w:r w:rsidR="00690911" w:rsidRPr="00C40B08">
        <w:rPr>
          <w:rFonts w:ascii="Calibri" w:hAnsi="Calibri"/>
        </w:rPr>
        <w:t xml:space="preserve"> pathways</w:t>
      </w:r>
      <w:r w:rsidR="00F52DE2" w:rsidRPr="00C40B08">
        <w:rPr>
          <w:rFonts w:ascii="Calibri" w:hAnsi="Calibri"/>
        </w:rPr>
        <w:t>. T</w:t>
      </w:r>
      <w:r w:rsidR="00690911" w:rsidRPr="00C40B08">
        <w:rPr>
          <w:rFonts w:ascii="Calibri" w:hAnsi="Calibri"/>
        </w:rPr>
        <w:t xml:space="preserve">he differences across these various modeling efforts again confirm that marginal </w:t>
      </w:r>
      <w:r w:rsidR="00AD2619">
        <w:rPr>
          <w:rFonts w:ascii="Calibri" w:hAnsi="Calibri"/>
        </w:rPr>
        <w:t>mitigation</w:t>
      </w:r>
      <w:r w:rsidR="00690911" w:rsidRPr="00C40B08">
        <w:rPr>
          <w:rFonts w:ascii="Calibri" w:hAnsi="Calibri"/>
        </w:rPr>
        <w:t xml:space="preserve"> costs are likely to be lower with more energy efficiency. </w:t>
      </w:r>
    </w:p>
    <w:p w14:paraId="60876F40" w14:textId="6D6B0D2E" w:rsidR="006C02FD" w:rsidRPr="00C40B08" w:rsidRDefault="006C02FD" w:rsidP="000656C9">
      <w:pPr>
        <w:spacing w:before="100" w:beforeAutospacing="1" w:after="100" w:afterAutospacing="1" w:line="276" w:lineRule="auto"/>
        <w:rPr>
          <w:rFonts w:ascii="Calibri" w:eastAsia="Times New Roman" w:hAnsi="Calibri"/>
        </w:rPr>
      </w:pPr>
      <w:r w:rsidRPr="00C40B08">
        <w:rPr>
          <w:rFonts w:ascii="Calibri" w:eastAsia="Times New Roman" w:hAnsi="Calibri"/>
        </w:rPr>
        <w:t xml:space="preserve">The Bipartisan Policy Center (2016) similarly finds that energy efficiency is important for cost containment. When </w:t>
      </w:r>
      <w:r w:rsidR="00FB6079" w:rsidRPr="00C40B08">
        <w:rPr>
          <w:rFonts w:ascii="Calibri" w:eastAsia="Times New Roman" w:hAnsi="Calibri"/>
        </w:rPr>
        <w:t xml:space="preserve">efficiency is extended </w:t>
      </w:r>
      <w:r w:rsidR="00F357D4" w:rsidRPr="00C40B08">
        <w:rPr>
          <w:rFonts w:ascii="Calibri" w:eastAsia="Times New Roman" w:hAnsi="Calibri"/>
        </w:rPr>
        <w:t xml:space="preserve">beyond the level </w:t>
      </w:r>
      <w:r w:rsidRPr="00C40B08">
        <w:rPr>
          <w:rFonts w:ascii="Calibri" w:eastAsia="Times New Roman" w:hAnsi="Calibri"/>
        </w:rPr>
        <w:t xml:space="preserve">built into demand projections, </w:t>
      </w:r>
      <w:r w:rsidRPr="00C40B08">
        <w:rPr>
          <w:rFonts w:ascii="Calibri" w:eastAsia="Times New Roman" w:hAnsi="Calibri"/>
        </w:rPr>
        <w:lastRenderedPageBreak/>
        <w:t>efficiency reduces the price of allowances and ERCs under the policy cases, along with the costs for each case relative to the cases without efficiency</w:t>
      </w:r>
      <w:r w:rsidR="00F52DE2" w:rsidRPr="00C40B08">
        <w:rPr>
          <w:rFonts w:ascii="Calibri" w:eastAsia="Times New Roman" w:hAnsi="Calibri"/>
        </w:rPr>
        <w:t>.</w:t>
      </w:r>
      <w:r w:rsidRPr="00C40B08">
        <w:rPr>
          <w:rFonts w:ascii="Calibri" w:eastAsia="Times New Roman" w:hAnsi="Calibri"/>
        </w:rPr>
        <w:t xml:space="preserve"> </w:t>
      </w:r>
    </w:p>
    <w:p w14:paraId="05FA1842" w14:textId="26279FBE" w:rsidR="00403809" w:rsidRDefault="00C52798"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t xml:space="preserve">Figure 2. Electricity Prices </w:t>
      </w:r>
      <w:r w:rsidR="00403809" w:rsidRPr="00C40B08">
        <w:rPr>
          <w:rFonts w:ascii="Calibri" w:hAnsi="Calibri"/>
          <w:color w:val="auto"/>
          <w:sz w:val="24"/>
          <w:szCs w:val="24"/>
        </w:rPr>
        <w:t>(</w:t>
      </w:r>
      <w:r w:rsidRPr="00C40B08">
        <w:rPr>
          <w:rFonts w:ascii="Calibri" w:hAnsi="Calibri"/>
          <w:color w:val="auto"/>
          <w:sz w:val="24"/>
          <w:szCs w:val="24"/>
        </w:rPr>
        <w:t>in 2013 cents/kWh</w:t>
      </w:r>
      <w:r w:rsidR="00403809" w:rsidRPr="00C40B08">
        <w:rPr>
          <w:rFonts w:ascii="Calibri" w:hAnsi="Calibri"/>
          <w:color w:val="auto"/>
          <w:sz w:val="24"/>
          <w:szCs w:val="24"/>
        </w:rPr>
        <w:t>)</w:t>
      </w:r>
    </w:p>
    <w:p w14:paraId="41BA4F2E" w14:textId="237C6C62" w:rsidR="00CA6589" w:rsidRPr="00C40B08" w:rsidRDefault="00CA6589" w:rsidP="000656C9">
      <w:pPr>
        <w:pStyle w:val="TablesandFigures"/>
        <w:spacing w:line="276" w:lineRule="auto"/>
        <w:jc w:val="center"/>
        <w:rPr>
          <w:rFonts w:ascii="Calibri" w:hAnsi="Calibri"/>
          <w:color w:val="auto"/>
          <w:sz w:val="24"/>
          <w:szCs w:val="24"/>
        </w:rPr>
      </w:pPr>
      <w:r>
        <w:rPr>
          <w:noProof/>
          <w:color w:val="auto"/>
          <w:sz w:val="24"/>
          <w:szCs w:val="24"/>
        </w:rPr>
        <w:drawing>
          <wp:inline distT="0" distB="0" distL="0" distR="0" wp14:anchorId="7756A8D1" wp14:editId="52974320">
            <wp:extent cx="4128135" cy="3437574"/>
            <wp:effectExtent l="0" t="0" r="1206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4">
                      <a:extLst>
                        <a:ext uri="{28A0092B-C50C-407E-A947-70E740481C1C}">
                          <a14:useLocalDpi xmlns:a14="http://schemas.microsoft.com/office/drawing/2010/main" val="0"/>
                        </a:ext>
                      </a:extLst>
                    </a:blip>
                    <a:stretch>
                      <a:fillRect/>
                    </a:stretch>
                  </pic:blipFill>
                  <pic:spPr>
                    <a:xfrm>
                      <a:off x="0" y="0"/>
                      <a:ext cx="4133186" cy="3441780"/>
                    </a:xfrm>
                    <a:prstGeom prst="rect">
                      <a:avLst/>
                    </a:prstGeom>
                  </pic:spPr>
                </pic:pic>
              </a:graphicData>
            </a:graphic>
          </wp:inline>
        </w:drawing>
      </w:r>
    </w:p>
    <w:p w14:paraId="7375030F" w14:textId="78702734" w:rsidR="00690911" w:rsidRPr="00C40B08" w:rsidRDefault="00690911" w:rsidP="000656C9">
      <w:pPr>
        <w:spacing w:before="100" w:beforeAutospacing="1" w:after="100" w:afterAutospacing="1" w:line="276" w:lineRule="auto"/>
        <w:rPr>
          <w:rFonts w:ascii="Calibri" w:hAnsi="Calibri"/>
        </w:rPr>
      </w:pPr>
      <w:r w:rsidRPr="00C40B08">
        <w:rPr>
          <w:rFonts w:ascii="Calibri" w:hAnsi="Calibri"/>
        </w:rPr>
        <w:t xml:space="preserve">In the Reference case, economy-wide electricity </w:t>
      </w:r>
      <w:r w:rsidR="00F52DE2" w:rsidRPr="00C40B08">
        <w:rPr>
          <w:rFonts w:ascii="Calibri" w:hAnsi="Calibri"/>
        </w:rPr>
        <w:t>bills</w:t>
      </w:r>
      <w:r w:rsidRPr="00C40B08">
        <w:rPr>
          <w:rFonts w:ascii="Calibri" w:hAnsi="Calibri"/>
        </w:rPr>
        <w:t xml:space="preserve"> per capita (across all customer classes) are expected to increase by </w:t>
      </w:r>
      <w:r w:rsidR="00587007" w:rsidRPr="00C40B08">
        <w:rPr>
          <w:rFonts w:ascii="Calibri" w:hAnsi="Calibri"/>
        </w:rPr>
        <w:t>9</w:t>
      </w:r>
      <w:r w:rsidRPr="00C40B08">
        <w:rPr>
          <w:rFonts w:ascii="Calibri" w:hAnsi="Calibri"/>
        </w:rPr>
        <w:t>% between 2012 and 2030 as the result of increasing demand for electrical goods and services as well as increased rates caused by rising fuel costs, environmental regulation</w:t>
      </w:r>
      <w:r w:rsidR="006A1FED" w:rsidRPr="00C40B08">
        <w:rPr>
          <w:rFonts w:ascii="Calibri" w:hAnsi="Calibri"/>
        </w:rPr>
        <w:t>s, and other factors. When enhanced energy-</w:t>
      </w:r>
      <w:r w:rsidRPr="00C40B08">
        <w:rPr>
          <w:rFonts w:ascii="Calibri" w:hAnsi="Calibri"/>
        </w:rPr>
        <w:t xml:space="preserve">efficiency policies are added to the Reference case, electricity bills per capita in 2030 would remain at their 2012 level because of reduced demand </w:t>
      </w:r>
      <w:r w:rsidR="006A1FED" w:rsidRPr="00C40B08">
        <w:rPr>
          <w:rFonts w:ascii="Calibri" w:hAnsi="Calibri"/>
        </w:rPr>
        <w:t xml:space="preserve">combined with a more moderate </w:t>
      </w:r>
      <w:r w:rsidRPr="00C40B08">
        <w:rPr>
          <w:rFonts w:ascii="Calibri" w:hAnsi="Calibri"/>
        </w:rPr>
        <w:t>escalation of electricity rates.</w:t>
      </w:r>
    </w:p>
    <w:p w14:paraId="22899B44" w14:textId="77777777" w:rsidR="003F04FC" w:rsidRDefault="003F04FC" w:rsidP="000656C9">
      <w:pPr>
        <w:spacing w:after="160" w:line="276" w:lineRule="auto"/>
        <w:rPr>
          <w:rFonts w:ascii="Calibri" w:hAnsi="Calibri" w:cstheme="minorBidi"/>
          <w:b/>
        </w:rPr>
      </w:pPr>
      <w:r>
        <w:rPr>
          <w:rFonts w:ascii="Calibri" w:hAnsi="Calibri"/>
        </w:rPr>
        <w:br w:type="page"/>
      </w:r>
    </w:p>
    <w:p w14:paraId="1465E3A2" w14:textId="5F643672" w:rsidR="001A7352" w:rsidRDefault="001A7352"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 xml:space="preserve">Table 1. Impact of the </w:t>
      </w:r>
      <w:r w:rsidR="00AD2619">
        <w:rPr>
          <w:rFonts w:ascii="Calibri" w:hAnsi="Calibri"/>
          <w:color w:val="auto"/>
          <w:sz w:val="24"/>
          <w:szCs w:val="24"/>
        </w:rPr>
        <w:t>Mitigation</w:t>
      </w:r>
      <w:r w:rsidRPr="00C40B08">
        <w:rPr>
          <w:rFonts w:ascii="Calibri" w:hAnsi="Calibri"/>
          <w:color w:val="auto"/>
          <w:sz w:val="24"/>
          <w:szCs w:val="24"/>
        </w:rPr>
        <w:t xml:space="preserve"> Scenarios on U.S. Electricity </w:t>
      </w:r>
      <w:r w:rsidR="00F52DE2" w:rsidRPr="00C40B08">
        <w:rPr>
          <w:rFonts w:ascii="Calibri" w:hAnsi="Calibri"/>
          <w:color w:val="auto"/>
          <w:sz w:val="24"/>
          <w:szCs w:val="24"/>
        </w:rPr>
        <w:t>Bills</w:t>
      </w:r>
      <w:r w:rsidRPr="00C40B08">
        <w:rPr>
          <w:rFonts w:ascii="Calibri" w:hAnsi="Calibri"/>
          <w:color w:val="auto"/>
          <w:sz w:val="24"/>
          <w:szCs w:val="24"/>
        </w:rPr>
        <w:t xml:space="preserve"> Per Capita in 2030</w:t>
      </w:r>
    </w:p>
    <w:tbl>
      <w:tblPr>
        <w:tblStyle w:val="TableGrid"/>
        <w:tblW w:w="9145" w:type="dxa"/>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7"/>
        <w:gridCol w:w="1579"/>
        <w:gridCol w:w="1568"/>
        <w:gridCol w:w="1537"/>
        <w:gridCol w:w="1424"/>
      </w:tblGrid>
      <w:tr w:rsidR="00CA6589" w:rsidRPr="00753072" w14:paraId="799321A9" w14:textId="77777777" w:rsidTr="00CA6589">
        <w:tc>
          <w:tcPr>
            <w:tcW w:w="3037" w:type="dxa"/>
            <w:tcBorders>
              <w:top w:val="single" w:sz="4" w:space="0" w:color="auto"/>
              <w:bottom w:val="single" w:sz="4" w:space="0" w:color="auto"/>
            </w:tcBorders>
          </w:tcPr>
          <w:p w14:paraId="1B5240FB" w14:textId="77777777" w:rsidR="00CA6589" w:rsidRPr="00DD766A" w:rsidRDefault="00CA6589" w:rsidP="000656C9">
            <w:pPr>
              <w:spacing w:line="276" w:lineRule="auto"/>
              <w:rPr>
                <w:rFonts w:asciiTheme="minorHAnsi" w:eastAsia="Times New Roman" w:hAnsiTheme="minorHAnsi"/>
                <w:b/>
              </w:rPr>
            </w:pPr>
            <w:r w:rsidRPr="00DD766A">
              <w:rPr>
                <w:rFonts w:asciiTheme="minorHAnsi" w:eastAsia="Times New Roman" w:hAnsiTheme="minorHAnsi"/>
                <w:b/>
              </w:rPr>
              <w:t>Values in ($2013)</w:t>
            </w:r>
          </w:p>
        </w:tc>
        <w:tc>
          <w:tcPr>
            <w:tcW w:w="1579" w:type="dxa"/>
            <w:tcBorders>
              <w:top w:val="single" w:sz="4" w:space="0" w:color="auto"/>
              <w:bottom w:val="single" w:sz="4" w:space="0" w:color="auto"/>
            </w:tcBorders>
          </w:tcPr>
          <w:p w14:paraId="3D93A99C" w14:textId="77777777" w:rsidR="00CA6589" w:rsidRPr="00753072" w:rsidRDefault="00CA6589" w:rsidP="000656C9">
            <w:pPr>
              <w:spacing w:line="276" w:lineRule="auto"/>
              <w:jc w:val="center"/>
              <w:rPr>
                <w:rFonts w:asciiTheme="minorHAnsi" w:eastAsia="Times New Roman" w:hAnsiTheme="minorHAnsi"/>
                <w:b/>
                <w:bCs/>
              </w:rPr>
            </w:pPr>
            <w:r w:rsidRPr="00753072">
              <w:rPr>
                <w:rFonts w:asciiTheme="minorHAnsi" w:eastAsia="Times New Roman" w:hAnsiTheme="minorHAnsi"/>
                <w:b/>
              </w:rPr>
              <w:t>Residential Consumers</w:t>
            </w:r>
          </w:p>
        </w:tc>
        <w:tc>
          <w:tcPr>
            <w:tcW w:w="1568" w:type="dxa"/>
            <w:tcBorders>
              <w:top w:val="single" w:sz="4" w:space="0" w:color="auto"/>
              <w:bottom w:val="single" w:sz="4" w:space="0" w:color="auto"/>
            </w:tcBorders>
          </w:tcPr>
          <w:p w14:paraId="64DEAA00" w14:textId="77777777" w:rsidR="00CA6589" w:rsidRPr="00753072" w:rsidRDefault="00CA6589" w:rsidP="000656C9">
            <w:pPr>
              <w:spacing w:line="276" w:lineRule="auto"/>
              <w:jc w:val="center"/>
              <w:rPr>
                <w:rFonts w:asciiTheme="minorHAnsi" w:eastAsia="Times New Roman" w:hAnsiTheme="minorHAnsi"/>
                <w:b/>
              </w:rPr>
            </w:pPr>
          </w:p>
          <w:p w14:paraId="4D2CA428" w14:textId="77777777" w:rsidR="00CA6589" w:rsidRPr="00753072" w:rsidRDefault="00CA6589" w:rsidP="000656C9">
            <w:pPr>
              <w:spacing w:line="276" w:lineRule="auto"/>
              <w:jc w:val="center"/>
              <w:rPr>
                <w:rFonts w:asciiTheme="minorHAnsi" w:eastAsia="Times New Roman" w:hAnsiTheme="minorHAnsi"/>
                <w:b/>
                <w:bCs/>
              </w:rPr>
            </w:pPr>
            <w:r w:rsidRPr="00753072">
              <w:rPr>
                <w:rFonts w:asciiTheme="minorHAnsi" w:eastAsia="Times New Roman" w:hAnsiTheme="minorHAnsi"/>
                <w:b/>
              </w:rPr>
              <w:t>Businesses</w:t>
            </w:r>
          </w:p>
        </w:tc>
        <w:tc>
          <w:tcPr>
            <w:tcW w:w="1537" w:type="dxa"/>
            <w:tcBorders>
              <w:top w:val="single" w:sz="4" w:space="0" w:color="auto"/>
              <w:bottom w:val="single" w:sz="4" w:space="0" w:color="auto"/>
            </w:tcBorders>
          </w:tcPr>
          <w:p w14:paraId="44A26A6C" w14:textId="77777777" w:rsidR="00CA6589" w:rsidRPr="00753072" w:rsidRDefault="00CA6589" w:rsidP="000656C9">
            <w:pPr>
              <w:spacing w:line="276" w:lineRule="auto"/>
              <w:jc w:val="center"/>
              <w:rPr>
                <w:rFonts w:asciiTheme="minorHAnsi" w:eastAsia="Times New Roman" w:hAnsiTheme="minorHAnsi"/>
                <w:b/>
              </w:rPr>
            </w:pPr>
          </w:p>
          <w:p w14:paraId="25D98D8C" w14:textId="77777777" w:rsidR="00CA6589" w:rsidRPr="00753072" w:rsidRDefault="00CA6589" w:rsidP="000656C9">
            <w:pPr>
              <w:spacing w:line="276" w:lineRule="auto"/>
              <w:jc w:val="center"/>
              <w:rPr>
                <w:rFonts w:asciiTheme="minorHAnsi" w:eastAsia="Times New Roman" w:hAnsiTheme="minorHAnsi"/>
                <w:b/>
                <w:bCs/>
              </w:rPr>
            </w:pPr>
            <w:r w:rsidRPr="00753072">
              <w:rPr>
                <w:rFonts w:asciiTheme="minorHAnsi" w:eastAsia="Times New Roman" w:hAnsiTheme="minorHAnsi"/>
                <w:b/>
              </w:rPr>
              <w:t>Industries</w:t>
            </w:r>
          </w:p>
        </w:tc>
        <w:tc>
          <w:tcPr>
            <w:tcW w:w="1424" w:type="dxa"/>
            <w:tcBorders>
              <w:top w:val="single" w:sz="4" w:space="0" w:color="auto"/>
              <w:bottom w:val="single" w:sz="4" w:space="0" w:color="auto"/>
            </w:tcBorders>
          </w:tcPr>
          <w:p w14:paraId="2618054F" w14:textId="77777777" w:rsidR="00CA6589" w:rsidRPr="00753072" w:rsidRDefault="00CA6589" w:rsidP="000656C9">
            <w:pPr>
              <w:spacing w:line="276" w:lineRule="auto"/>
              <w:jc w:val="center"/>
              <w:rPr>
                <w:rFonts w:asciiTheme="minorHAnsi" w:eastAsia="Times New Roman" w:hAnsiTheme="minorHAnsi"/>
                <w:b/>
              </w:rPr>
            </w:pPr>
          </w:p>
          <w:p w14:paraId="02906C30" w14:textId="77777777" w:rsidR="00CA6589" w:rsidRPr="00753072" w:rsidRDefault="00CA6589" w:rsidP="000656C9">
            <w:pPr>
              <w:spacing w:line="276" w:lineRule="auto"/>
              <w:jc w:val="center"/>
              <w:rPr>
                <w:rFonts w:asciiTheme="minorHAnsi" w:eastAsia="Times New Roman" w:hAnsiTheme="minorHAnsi"/>
                <w:b/>
                <w:bCs/>
              </w:rPr>
            </w:pPr>
            <w:r w:rsidRPr="00753072">
              <w:rPr>
                <w:rFonts w:asciiTheme="minorHAnsi" w:eastAsia="Times New Roman" w:hAnsiTheme="minorHAnsi"/>
                <w:b/>
              </w:rPr>
              <w:t>Total</w:t>
            </w:r>
          </w:p>
        </w:tc>
      </w:tr>
      <w:tr w:rsidR="00CA6589" w:rsidRPr="00753072" w14:paraId="6FD3FE4A" w14:textId="77777777" w:rsidTr="00CA6589">
        <w:tc>
          <w:tcPr>
            <w:tcW w:w="3037" w:type="dxa"/>
            <w:tcBorders>
              <w:top w:val="single" w:sz="4" w:space="0" w:color="auto"/>
            </w:tcBorders>
          </w:tcPr>
          <w:p w14:paraId="1C7F4164" w14:textId="77777777" w:rsidR="00CA6589" w:rsidRPr="00753072" w:rsidRDefault="00CA6589" w:rsidP="000656C9">
            <w:pPr>
              <w:spacing w:line="276" w:lineRule="auto"/>
              <w:rPr>
                <w:rFonts w:asciiTheme="minorHAnsi" w:eastAsia="Times New Roman" w:hAnsiTheme="minorHAnsi"/>
                <w:b/>
                <w:bCs/>
              </w:rPr>
            </w:pPr>
            <w:r w:rsidRPr="00753072">
              <w:rPr>
                <w:rFonts w:asciiTheme="minorHAnsi" w:eastAsia="Times New Roman" w:hAnsiTheme="minorHAnsi"/>
                <w:b/>
              </w:rPr>
              <w:t>2012 Baseline</w:t>
            </w:r>
          </w:p>
        </w:tc>
        <w:tc>
          <w:tcPr>
            <w:tcW w:w="1579" w:type="dxa"/>
            <w:tcBorders>
              <w:top w:val="single" w:sz="4" w:space="0" w:color="auto"/>
            </w:tcBorders>
            <w:vAlign w:val="bottom"/>
          </w:tcPr>
          <w:p w14:paraId="58FC6095"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527.1</w:t>
            </w:r>
          </w:p>
        </w:tc>
        <w:tc>
          <w:tcPr>
            <w:tcW w:w="1568" w:type="dxa"/>
            <w:tcBorders>
              <w:top w:val="single" w:sz="4" w:space="0" w:color="auto"/>
            </w:tcBorders>
            <w:vAlign w:val="bottom"/>
          </w:tcPr>
          <w:p w14:paraId="65122A5D"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431.9</w:t>
            </w:r>
          </w:p>
        </w:tc>
        <w:tc>
          <w:tcPr>
            <w:tcW w:w="1537" w:type="dxa"/>
            <w:tcBorders>
              <w:top w:val="single" w:sz="4" w:space="0" w:color="auto"/>
            </w:tcBorders>
            <w:vAlign w:val="bottom"/>
          </w:tcPr>
          <w:p w14:paraId="04F023C1"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211.7</w:t>
            </w:r>
          </w:p>
        </w:tc>
        <w:tc>
          <w:tcPr>
            <w:tcW w:w="1424" w:type="dxa"/>
            <w:tcBorders>
              <w:top w:val="single" w:sz="4" w:space="0" w:color="auto"/>
            </w:tcBorders>
            <w:vAlign w:val="bottom"/>
          </w:tcPr>
          <w:p w14:paraId="0B986128"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1172.7</w:t>
            </w:r>
          </w:p>
        </w:tc>
      </w:tr>
      <w:tr w:rsidR="00CA6589" w:rsidRPr="00753072" w14:paraId="2F8BCDB0" w14:textId="77777777" w:rsidTr="00CA6589">
        <w:tc>
          <w:tcPr>
            <w:tcW w:w="3037" w:type="dxa"/>
            <w:tcBorders>
              <w:top w:val="single" w:sz="4" w:space="0" w:color="auto"/>
              <w:bottom w:val="single" w:sz="4" w:space="0" w:color="auto"/>
            </w:tcBorders>
          </w:tcPr>
          <w:p w14:paraId="32CF5704" w14:textId="77777777" w:rsidR="00CA6589" w:rsidRPr="00753072" w:rsidRDefault="00CA6589" w:rsidP="000656C9">
            <w:pPr>
              <w:spacing w:line="276" w:lineRule="auto"/>
              <w:rPr>
                <w:rFonts w:asciiTheme="minorHAnsi" w:eastAsia="Times New Roman" w:hAnsiTheme="minorHAnsi"/>
                <w:b/>
              </w:rPr>
            </w:pPr>
            <w:r w:rsidRPr="00753072">
              <w:rPr>
                <w:rFonts w:asciiTheme="minorHAnsi" w:eastAsia="Times New Roman" w:hAnsiTheme="minorHAnsi"/>
                <w:b/>
              </w:rPr>
              <w:t>2030 Reference Cases:</w:t>
            </w:r>
          </w:p>
        </w:tc>
        <w:tc>
          <w:tcPr>
            <w:tcW w:w="1579" w:type="dxa"/>
            <w:tcBorders>
              <w:top w:val="single" w:sz="4" w:space="0" w:color="auto"/>
              <w:bottom w:val="single" w:sz="4" w:space="0" w:color="auto"/>
            </w:tcBorders>
            <w:vAlign w:val="bottom"/>
          </w:tcPr>
          <w:p w14:paraId="574A114A" w14:textId="77777777" w:rsidR="00CA6589" w:rsidRPr="00753072" w:rsidRDefault="00CA6589" w:rsidP="000656C9">
            <w:pPr>
              <w:spacing w:line="276" w:lineRule="auto"/>
              <w:jc w:val="right"/>
              <w:rPr>
                <w:rFonts w:asciiTheme="minorHAnsi" w:eastAsia="Times New Roman" w:hAnsiTheme="minorHAnsi"/>
                <w:color w:val="000000"/>
              </w:rPr>
            </w:pPr>
          </w:p>
        </w:tc>
        <w:tc>
          <w:tcPr>
            <w:tcW w:w="1568" w:type="dxa"/>
            <w:tcBorders>
              <w:top w:val="single" w:sz="4" w:space="0" w:color="auto"/>
              <w:bottom w:val="single" w:sz="4" w:space="0" w:color="auto"/>
            </w:tcBorders>
            <w:vAlign w:val="bottom"/>
          </w:tcPr>
          <w:p w14:paraId="4F861FBF" w14:textId="77777777" w:rsidR="00CA6589" w:rsidRPr="00753072" w:rsidRDefault="00CA6589" w:rsidP="000656C9">
            <w:pPr>
              <w:spacing w:line="276" w:lineRule="auto"/>
              <w:jc w:val="right"/>
              <w:rPr>
                <w:rFonts w:asciiTheme="minorHAnsi" w:eastAsia="Times New Roman" w:hAnsiTheme="minorHAnsi"/>
                <w:color w:val="000000"/>
              </w:rPr>
            </w:pPr>
          </w:p>
        </w:tc>
        <w:tc>
          <w:tcPr>
            <w:tcW w:w="1537" w:type="dxa"/>
            <w:tcBorders>
              <w:top w:val="single" w:sz="4" w:space="0" w:color="auto"/>
              <w:bottom w:val="single" w:sz="4" w:space="0" w:color="auto"/>
            </w:tcBorders>
            <w:vAlign w:val="bottom"/>
          </w:tcPr>
          <w:p w14:paraId="677CB063" w14:textId="77777777" w:rsidR="00CA6589" w:rsidRPr="00753072" w:rsidRDefault="00CA6589" w:rsidP="000656C9">
            <w:pPr>
              <w:spacing w:line="276" w:lineRule="auto"/>
              <w:jc w:val="right"/>
              <w:rPr>
                <w:rFonts w:asciiTheme="minorHAnsi" w:eastAsia="Times New Roman" w:hAnsiTheme="minorHAnsi"/>
                <w:color w:val="000000"/>
              </w:rPr>
            </w:pPr>
          </w:p>
        </w:tc>
        <w:tc>
          <w:tcPr>
            <w:tcW w:w="1424" w:type="dxa"/>
            <w:tcBorders>
              <w:top w:val="single" w:sz="4" w:space="0" w:color="auto"/>
              <w:bottom w:val="single" w:sz="4" w:space="0" w:color="auto"/>
            </w:tcBorders>
            <w:vAlign w:val="bottom"/>
          </w:tcPr>
          <w:p w14:paraId="3587A32D" w14:textId="77777777" w:rsidR="00CA6589" w:rsidRPr="00753072" w:rsidRDefault="00CA6589" w:rsidP="000656C9">
            <w:pPr>
              <w:spacing w:line="276" w:lineRule="auto"/>
              <w:jc w:val="right"/>
              <w:rPr>
                <w:rFonts w:asciiTheme="minorHAnsi" w:eastAsia="Times New Roman" w:hAnsiTheme="minorHAnsi"/>
                <w:color w:val="000000"/>
              </w:rPr>
            </w:pPr>
          </w:p>
        </w:tc>
      </w:tr>
      <w:tr w:rsidR="00CA6589" w:rsidRPr="00753072" w14:paraId="2F2240D8" w14:textId="77777777" w:rsidTr="00CA6589">
        <w:tc>
          <w:tcPr>
            <w:tcW w:w="3037" w:type="dxa"/>
            <w:tcBorders>
              <w:top w:val="single" w:sz="4" w:space="0" w:color="auto"/>
              <w:bottom w:val="nil"/>
            </w:tcBorders>
            <w:vAlign w:val="bottom"/>
          </w:tcPr>
          <w:p w14:paraId="215EB8B3" w14:textId="77777777" w:rsidR="00CA6589" w:rsidRPr="00753072" w:rsidRDefault="00CA6589" w:rsidP="000656C9">
            <w:pPr>
              <w:spacing w:line="276" w:lineRule="auto"/>
              <w:rPr>
                <w:rFonts w:asciiTheme="minorHAnsi" w:eastAsia="Times New Roman" w:hAnsiTheme="minorHAnsi"/>
              </w:rPr>
            </w:pPr>
            <w:r w:rsidRPr="00753072">
              <w:rPr>
                <w:rFonts w:asciiTheme="minorHAnsi" w:hAnsiTheme="minorHAnsi"/>
              </w:rPr>
              <w:t xml:space="preserve">Reference </w:t>
            </w:r>
          </w:p>
        </w:tc>
        <w:tc>
          <w:tcPr>
            <w:tcW w:w="1579" w:type="dxa"/>
            <w:tcBorders>
              <w:top w:val="single" w:sz="4" w:space="0" w:color="auto"/>
              <w:bottom w:val="nil"/>
            </w:tcBorders>
            <w:vAlign w:val="bottom"/>
          </w:tcPr>
          <w:p w14:paraId="49E063BF"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555.3</w:t>
            </w:r>
          </w:p>
        </w:tc>
        <w:tc>
          <w:tcPr>
            <w:tcW w:w="1568" w:type="dxa"/>
            <w:tcBorders>
              <w:top w:val="single" w:sz="4" w:space="0" w:color="auto"/>
              <w:bottom w:val="nil"/>
            </w:tcBorders>
            <w:vAlign w:val="bottom"/>
          </w:tcPr>
          <w:p w14:paraId="405F837C"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466.9</w:t>
            </w:r>
          </w:p>
        </w:tc>
        <w:tc>
          <w:tcPr>
            <w:tcW w:w="1537" w:type="dxa"/>
            <w:tcBorders>
              <w:top w:val="single" w:sz="4" w:space="0" w:color="auto"/>
              <w:bottom w:val="nil"/>
            </w:tcBorders>
            <w:vAlign w:val="bottom"/>
          </w:tcPr>
          <w:p w14:paraId="2B43F182"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252.4</w:t>
            </w:r>
          </w:p>
        </w:tc>
        <w:tc>
          <w:tcPr>
            <w:tcW w:w="1424" w:type="dxa"/>
            <w:tcBorders>
              <w:top w:val="single" w:sz="4" w:space="0" w:color="auto"/>
              <w:bottom w:val="nil"/>
            </w:tcBorders>
            <w:vAlign w:val="bottom"/>
          </w:tcPr>
          <w:p w14:paraId="6894CA50"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1278.5</w:t>
            </w:r>
          </w:p>
        </w:tc>
      </w:tr>
      <w:tr w:rsidR="00CA6589" w:rsidRPr="00753072" w14:paraId="2F00D72E" w14:textId="77777777" w:rsidTr="00CA6589">
        <w:tc>
          <w:tcPr>
            <w:tcW w:w="3037" w:type="dxa"/>
            <w:tcBorders>
              <w:top w:val="nil"/>
              <w:bottom w:val="single" w:sz="4" w:space="0" w:color="auto"/>
            </w:tcBorders>
            <w:vAlign w:val="bottom"/>
          </w:tcPr>
          <w:p w14:paraId="501E79E1" w14:textId="77777777" w:rsidR="00CA6589" w:rsidRPr="00753072" w:rsidRDefault="00CA6589" w:rsidP="000656C9">
            <w:pPr>
              <w:spacing w:line="276" w:lineRule="auto"/>
              <w:rPr>
                <w:rFonts w:asciiTheme="minorHAnsi" w:eastAsia="Times New Roman" w:hAnsiTheme="minorHAnsi"/>
              </w:rPr>
            </w:pPr>
            <w:proofErr w:type="spellStart"/>
            <w:r w:rsidRPr="00753072">
              <w:rPr>
                <w:rFonts w:asciiTheme="minorHAnsi" w:hAnsiTheme="minorHAnsi"/>
              </w:rPr>
              <w:t>Reference+EE</w:t>
            </w:r>
            <w:proofErr w:type="spellEnd"/>
          </w:p>
        </w:tc>
        <w:tc>
          <w:tcPr>
            <w:tcW w:w="1579" w:type="dxa"/>
            <w:tcBorders>
              <w:top w:val="nil"/>
              <w:bottom w:val="single" w:sz="4" w:space="0" w:color="auto"/>
            </w:tcBorders>
            <w:vAlign w:val="bottom"/>
          </w:tcPr>
          <w:p w14:paraId="3C369DA8"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489.3</w:t>
            </w:r>
          </w:p>
        </w:tc>
        <w:tc>
          <w:tcPr>
            <w:tcW w:w="1568" w:type="dxa"/>
            <w:tcBorders>
              <w:top w:val="nil"/>
              <w:bottom w:val="single" w:sz="4" w:space="0" w:color="auto"/>
            </w:tcBorders>
            <w:vAlign w:val="bottom"/>
          </w:tcPr>
          <w:p w14:paraId="164B059C"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451.0</w:t>
            </w:r>
          </w:p>
        </w:tc>
        <w:tc>
          <w:tcPr>
            <w:tcW w:w="1537" w:type="dxa"/>
            <w:tcBorders>
              <w:top w:val="nil"/>
              <w:bottom w:val="single" w:sz="4" w:space="0" w:color="auto"/>
            </w:tcBorders>
            <w:vAlign w:val="bottom"/>
          </w:tcPr>
          <w:p w14:paraId="5722E166"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229.6</w:t>
            </w:r>
          </w:p>
        </w:tc>
        <w:tc>
          <w:tcPr>
            <w:tcW w:w="1424" w:type="dxa"/>
            <w:tcBorders>
              <w:top w:val="nil"/>
              <w:bottom w:val="single" w:sz="4" w:space="0" w:color="auto"/>
            </w:tcBorders>
            <w:vAlign w:val="bottom"/>
          </w:tcPr>
          <w:p w14:paraId="702DFAF1"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1173.7</w:t>
            </w:r>
          </w:p>
        </w:tc>
      </w:tr>
      <w:tr w:rsidR="00CA6589" w:rsidRPr="00753072" w14:paraId="76CC5256" w14:textId="77777777" w:rsidTr="00CA6589">
        <w:tc>
          <w:tcPr>
            <w:tcW w:w="3037" w:type="dxa"/>
            <w:tcBorders>
              <w:top w:val="single" w:sz="4" w:space="0" w:color="auto"/>
              <w:bottom w:val="nil"/>
            </w:tcBorders>
            <w:vAlign w:val="bottom"/>
          </w:tcPr>
          <w:p w14:paraId="4E4BBB47" w14:textId="77777777" w:rsidR="00CA6589" w:rsidRPr="00753072" w:rsidRDefault="00CA6589" w:rsidP="000656C9">
            <w:pPr>
              <w:spacing w:line="276" w:lineRule="auto"/>
              <w:rPr>
                <w:rFonts w:asciiTheme="minorHAnsi" w:hAnsiTheme="minorHAnsi"/>
                <w:b/>
              </w:rPr>
            </w:pPr>
            <w:r w:rsidRPr="00753072">
              <w:rPr>
                <w:rFonts w:asciiTheme="minorHAnsi" w:hAnsiTheme="minorHAnsi"/>
                <w:b/>
              </w:rPr>
              <w:t xml:space="preserve">2030 </w:t>
            </w:r>
            <w:r>
              <w:rPr>
                <w:rFonts w:asciiTheme="minorHAnsi" w:hAnsiTheme="minorHAnsi"/>
                <w:b/>
              </w:rPr>
              <w:t>Mitigation</w:t>
            </w:r>
            <w:r w:rsidRPr="00753072">
              <w:rPr>
                <w:rFonts w:asciiTheme="minorHAnsi" w:hAnsiTheme="minorHAnsi"/>
                <w:b/>
              </w:rPr>
              <w:t xml:space="preserve"> Scenarios:</w:t>
            </w:r>
          </w:p>
        </w:tc>
        <w:tc>
          <w:tcPr>
            <w:tcW w:w="1579" w:type="dxa"/>
            <w:tcBorders>
              <w:top w:val="single" w:sz="4" w:space="0" w:color="auto"/>
              <w:bottom w:val="nil"/>
            </w:tcBorders>
            <w:vAlign w:val="bottom"/>
          </w:tcPr>
          <w:p w14:paraId="4A5C7C24" w14:textId="77777777" w:rsidR="00CA6589" w:rsidRPr="00753072" w:rsidRDefault="00CA6589" w:rsidP="000656C9">
            <w:pPr>
              <w:spacing w:line="276" w:lineRule="auto"/>
              <w:jc w:val="right"/>
              <w:rPr>
                <w:rFonts w:asciiTheme="minorHAnsi" w:eastAsia="Times New Roman" w:hAnsiTheme="minorHAnsi"/>
                <w:color w:val="000000"/>
              </w:rPr>
            </w:pPr>
          </w:p>
        </w:tc>
        <w:tc>
          <w:tcPr>
            <w:tcW w:w="1568" w:type="dxa"/>
            <w:tcBorders>
              <w:top w:val="single" w:sz="4" w:space="0" w:color="auto"/>
              <w:bottom w:val="nil"/>
            </w:tcBorders>
            <w:vAlign w:val="bottom"/>
          </w:tcPr>
          <w:p w14:paraId="591359C0" w14:textId="77777777" w:rsidR="00CA6589" w:rsidRPr="00753072" w:rsidRDefault="00CA6589" w:rsidP="000656C9">
            <w:pPr>
              <w:spacing w:line="276" w:lineRule="auto"/>
              <w:jc w:val="right"/>
              <w:rPr>
                <w:rFonts w:asciiTheme="minorHAnsi" w:eastAsia="Times New Roman" w:hAnsiTheme="minorHAnsi"/>
                <w:color w:val="000000"/>
              </w:rPr>
            </w:pPr>
          </w:p>
        </w:tc>
        <w:tc>
          <w:tcPr>
            <w:tcW w:w="1537" w:type="dxa"/>
            <w:tcBorders>
              <w:top w:val="single" w:sz="4" w:space="0" w:color="auto"/>
              <w:bottom w:val="nil"/>
            </w:tcBorders>
            <w:vAlign w:val="bottom"/>
          </w:tcPr>
          <w:p w14:paraId="5667116F" w14:textId="77777777" w:rsidR="00CA6589" w:rsidRPr="00753072" w:rsidRDefault="00CA6589" w:rsidP="000656C9">
            <w:pPr>
              <w:spacing w:line="276" w:lineRule="auto"/>
              <w:jc w:val="right"/>
              <w:rPr>
                <w:rFonts w:asciiTheme="minorHAnsi" w:eastAsia="Times New Roman" w:hAnsiTheme="minorHAnsi"/>
                <w:color w:val="000000"/>
              </w:rPr>
            </w:pPr>
          </w:p>
        </w:tc>
        <w:tc>
          <w:tcPr>
            <w:tcW w:w="1424" w:type="dxa"/>
            <w:tcBorders>
              <w:top w:val="single" w:sz="4" w:space="0" w:color="auto"/>
              <w:bottom w:val="nil"/>
            </w:tcBorders>
            <w:vAlign w:val="bottom"/>
          </w:tcPr>
          <w:p w14:paraId="4B14C4BD" w14:textId="77777777" w:rsidR="00CA6589" w:rsidRPr="00753072" w:rsidRDefault="00CA6589" w:rsidP="000656C9">
            <w:pPr>
              <w:spacing w:line="276" w:lineRule="auto"/>
              <w:jc w:val="right"/>
              <w:rPr>
                <w:rFonts w:asciiTheme="minorHAnsi" w:eastAsia="Times New Roman" w:hAnsiTheme="minorHAnsi"/>
                <w:color w:val="000000"/>
              </w:rPr>
            </w:pPr>
          </w:p>
        </w:tc>
      </w:tr>
      <w:tr w:rsidR="00CA6589" w:rsidRPr="00753072" w14:paraId="1F024ECC" w14:textId="77777777" w:rsidTr="00CA6589">
        <w:tc>
          <w:tcPr>
            <w:tcW w:w="3037" w:type="dxa"/>
            <w:tcBorders>
              <w:top w:val="single" w:sz="4" w:space="0" w:color="auto"/>
              <w:bottom w:val="nil"/>
            </w:tcBorders>
          </w:tcPr>
          <w:p w14:paraId="177F989E"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w:t>
            </w:r>
          </w:p>
        </w:tc>
        <w:tc>
          <w:tcPr>
            <w:tcW w:w="1579" w:type="dxa"/>
            <w:tcBorders>
              <w:top w:val="single" w:sz="4" w:space="0" w:color="auto"/>
              <w:bottom w:val="nil"/>
            </w:tcBorders>
            <w:vAlign w:val="bottom"/>
          </w:tcPr>
          <w:p w14:paraId="150EA41E"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565.0</w:t>
            </w:r>
          </w:p>
        </w:tc>
        <w:tc>
          <w:tcPr>
            <w:tcW w:w="1568" w:type="dxa"/>
            <w:tcBorders>
              <w:top w:val="single" w:sz="4" w:space="0" w:color="auto"/>
              <w:bottom w:val="nil"/>
            </w:tcBorders>
            <w:vAlign w:val="bottom"/>
          </w:tcPr>
          <w:p w14:paraId="6DBAC7A5"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475.4</w:t>
            </w:r>
          </w:p>
        </w:tc>
        <w:tc>
          <w:tcPr>
            <w:tcW w:w="1537" w:type="dxa"/>
            <w:tcBorders>
              <w:top w:val="single" w:sz="4" w:space="0" w:color="auto"/>
              <w:bottom w:val="nil"/>
            </w:tcBorders>
            <w:vAlign w:val="bottom"/>
          </w:tcPr>
          <w:p w14:paraId="318A0059"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262.0</w:t>
            </w:r>
          </w:p>
        </w:tc>
        <w:tc>
          <w:tcPr>
            <w:tcW w:w="1424" w:type="dxa"/>
            <w:tcBorders>
              <w:top w:val="single" w:sz="4" w:space="0" w:color="auto"/>
              <w:bottom w:val="nil"/>
            </w:tcBorders>
            <w:vAlign w:val="bottom"/>
          </w:tcPr>
          <w:p w14:paraId="163C3678"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1306.5</w:t>
            </w:r>
          </w:p>
        </w:tc>
      </w:tr>
      <w:tr w:rsidR="00CA6589" w:rsidRPr="00753072" w14:paraId="02E2728F" w14:textId="77777777" w:rsidTr="00CA6589">
        <w:tc>
          <w:tcPr>
            <w:tcW w:w="3037" w:type="dxa"/>
            <w:tcBorders>
              <w:top w:val="nil"/>
              <w:bottom w:val="single" w:sz="4" w:space="0" w:color="auto"/>
            </w:tcBorders>
          </w:tcPr>
          <w:p w14:paraId="36959A3D"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-CAP_Existing+EE</w:t>
            </w:r>
          </w:p>
        </w:tc>
        <w:tc>
          <w:tcPr>
            <w:tcW w:w="1579" w:type="dxa"/>
            <w:tcBorders>
              <w:top w:val="nil"/>
              <w:bottom w:val="single" w:sz="4" w:space="0" w:color="auto"/>
            </w:tcBorders>
            <w:vAlign w:val="bottom"/>
          </w:tcPr>
          <w:p w14:paraId="244ADD7E" w14:textId="77777777" w:rsidR="00CA6589" w:rsidRPr="00753072" w:rsidRDefault="00CA6589" w:rsidP="000656C9">
            <w:pPr>
              <w:spacing w:line="276" w:lineRule="auto"/>
              <w:jc w:val="right"/>
              <w:rPr>
                <w:rFonts w:asciiTheme="minorHAnsi" w:eastAsia="Times New Roman" w:hAnsiTheme="minorHAnsi"/>
              </w:rPr>
            </w:pPr>
            <w:r>
              <w:rPr>
                <w:rFonts w:asciiTheme="minorHAnsi" w:eastAsia="Times New Roman" w:hAnsiTheme="minorHAnsi"/>
                <w:color w:val="000000"/>
              </w:rPr>
              <w:t>61.0</w:t>
            </w:r>
          </w:p>
        </w:tc>
        <w:tc>
          <w:tcPr>
            <w:tcW w:w="1568" w:type="dxa"/>
            <w:tcBorders>
              <w:top w:val="nil"/>
              <w:bottom w:val="single" w:sz="4" w:space="0" w:color="auto"/>
            </w:tcBorders>
            <w:vAlign w:val="bottom"/>
          </w:tcPr>
          <w:p w14:paraId="6720019D"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427.5</w:t>
            </w:r>
          </w:p>
        </w:tc>
        <w:tc>
          <w:tcPr>
            <w:tcW w:w="1537" w:type="dxa"/>
            <w:tcBorders>
              <w:top w:val="nil"/>
              <w:bottom w:val="single" w:sz="4" w:space="0" w:color="auto"/>
            </w:tcBorders>
            <w:vAlign w:val="bottom"/>
          </w:tcPr>
          <w:p w14:paraId="51EAD1E1"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234.1</w:t>
            </w:r>
          </w:p>
        </w:tc>
        <w:tc>
          <w:tcPr>
            <w:tcW w:w="1424" w:type="dxa"/>
            <w:tcBorders>
              <w:top w:val="nil"/>
              <w:bottom w:val="single" w:sz="4" w:space="0" w:color="auto"/>
            </w:tcBorders>
            <w:vAlign w:val="bottom"/>
          </w:tcPr>
          <w:p w14:paraId="38828985" w14:textId="77777777" w:rsidR="00CA6589" w:rsidRPr="00753072" w:rsidRDefault="00CA6589" w:rsidP="000656C9">
            <w:pPr>
              <w:spacing w:line="276" w:lineRule="auto"/>
              <w:jc w:val="right"/>
              <w:rPr>
                <w:rFonts w:asciiTheme="minorHAnsi" w:eastAsia="Times New Roman" w:hAnsiTheme="minorHAnsi"/>
              </w:rPr>
            </w:pPr>
            <w:r>
              <w:rPr>
                <w:rFonts w:asciiTheme="minorHAnsi" w:eastAsia="Times New Roman" w:hAnsiTheme="minorHAnsi"/>
                <w:color w:val="000000"/>
              </w:rPr>
              <w:t>118.8</w:t>
            </w:r>
          </w:p>
        </w:tc>
      </w:tr>
      <w:tr w:rsidR="00CA6589" w:rsidRPr="00753072" w14:paraId="032908B9" w14:textId="77777777" w:rsidTr="00CA6589">
        <w:tc>
          <w:tcPr>
            <w:tcW w:w="3037" w:type="dxa"/>
            <w:tcBorders>
              <w:top w:val="single" w:sz="4" w:space="0" w:color="auto"/>
              <w:bottom w:val="nil"/>
            </w:tcBorders>
            <w:vAlign w:val="bottom"/>
          </w:tcPr>
          <w:p w14:paraId="4451971D"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hAnsiTheme="minorHAnsi"/>
              </w:rPr>
              <w:t>_All</w:t>
            </w:r>
          </w:p>
        </w:tc>
        <w:tc>
          <w:tcPr>
            <w:tcW w:w="1579" w:type="dxa"/>
            <w:tcBorders>
              <w:top w:val="single" w:sz="4" w:space="0" w:color="auto"/>
              <w:bottom w:val="nil"/>
            </w:tcBorders>
            <w:vAlign w:val="bottom"/>
          </w:tcPr>
          <w:p w14:paraId="091F121A"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577.3</w:t>
            </w:r>
          </w:p>
        </w:tc>
        <w:tc>
          <w:tcPr>
            <w:tcW w:w="1568" w:type="dxa"/>
            <w:tcBorders>
              <w:top w:val="single" w:sz="4" w:space="0" w:color="auto"/>
              <w:bottom w:val="nil"/>
            </w:tcBorders>
            <w:vAlign w:val="bottom"/>
          </w:tcPr>
          <w:p w14:paraId="08061C68"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488.2</w:t>
            </w:r>
          </w:p>
        </w:tc>
        <w:tc>
          <w:tcPr>
            <w:tcW w:w="1537" w:type="dxa"/>
            <w:tcBorders>
              <w:top w:val="single" w:sz="4" w:space="0" w:color="auto"/>
              <w:bottom w:val="nil"/>
            </w:tcBorders>
            <w:vAlign w:val="bottom"/>
          </w:tcPr>
          <w:p w14:paraId="6D7C74A8"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271.5</w:t>
            </w:r>
          </w:p>
        </w:tc>
        <w:tc>
          <w:tcPr>
            <w:tcW w:w="1424" w:type="dxa"/>
            <w:tcBorders>
              <w:top w:val="single" w:sz="4" w:space="0" w:color="auto"/>
              <w:bottom w:val="nil"/>
            </w:tcBorders>
            <w:vAlign w:val="bottom"/>
          </w:tcPr>
          <w:p w14:paraId="5A9437AF"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1341.2</w:t>
            </w:r>
          </w:p>
        </w:tc>
      </w:tr>
      <w:tr w:rsidR="00CA6589" w:rsidRPr="00753072" w14:paraId="35F8B31C" w14:textId="77777777" w:rsidTr="00CA6589">
        <w:tc>
          <w:tcPr>
            <w:tcW w:w="3037" w:type="dxa"/>
            <w:tcBorders>
              <w:top w:val="nil"/>
              <w:bottom w:val="single" w:sz="4" w:space="0" w:color="auto"/>
            </w:tcBorders>
            <w:vAlign w:val="bottom"/>
          </w:tcPr>
          <w:p w14:paraId="58405402"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hAnsiTheme="minorHAnsi"/>
              </w:rPr>
              <w:t>_All+EE</w:t>
            </w:r>
          </w:p>
        </w:tc>
        <w:tc>
          <w:tcPr>
            <w:tcW w:w="1579" w:type="dxa"/>
            <w:tcBorders>
              <w:top w:val="nil"/>
              <w:bottom w:val="single" w:sz="4" w:space="0" w:color="auto"/>
            </w:tcBorders>
            <w:vAlign w:val="bottom"/>
          </w:tcPr>
          <w:p w14:paraId="36E3B06A" w14:textId="77777777" w:rsidR="00CA6589" w:rsidRPr="00753072" w:rsidRDefault="00CA6589" w:rsidP="000656C9">
            <w:pPr>
              <w:spacing w:line="276" w:lineRule="auto"/>
              <w:jc w:val="right"/>
              <w:rPr>
                <w:rFonts w:asciiTheme="minorHAnsi" w:eastAsia="Times New Roman" w:hAnsiTheme="minorHAnsi"/>
              </w:rPr>
            </w:pPr>
            <w:r>
              <w:rPr>
                <w:rFonts w:asciiTheme="minorHAnsi" w:eastAsia="Times New Roman" w:hAnsiTheme="minorHAnsi"/>
                <w:color w:val="000000"/>
              </w:rPr>
              <w:t>51.7</w:t>
            </w:r>
          </w:p>
        </w:tc>
        <w:tc>
          <w:tcPr>
            <w:tcW w:w="1568" w:type="dxa"/>
            <w:tcBorders>
              <w:top w:val="nil"/>
              <w:bottom w:val="single" w:sz="4" w:space="0" w:color="auto"/>
            </w:tcBorders>
            <w:vAlign w:val="bottom"/>
          </w:tcPr>
          <w:p w14:paraId="57F39B43"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438.0</w:t>
            </w:r>
          </w:p>
        </w:tc>
        <w:tc>
          <w:tcPr>
            <w:tcW w:w="1537" w:type="dxa"/>
            <w:tcBorders>
              <w:top w:val="nil"/>
              <w:bottom w:val="single" w:sz="4" w:space="0" w:color="auto"/>
            </w:tcBorders>
            <w:vAlign w:val="bottom"/>
          </w:tcPr>
          <w:p w14:paraId="3798417E" w14:textId="77777777" w:rsidR="00CA6589" w:rsidRPr="00753072" w:rsidRDefault="00CA6589" w:rsidP="000656C9">
            <w:pPr>
              <w:spacing w:line="276" w:lineRule="auto"/>
              <w:jc w:val="right"/>
              <w:rPr>
                <w:rFonts w:asciiTheme="minorHAnsi" w:eastAsia="Times New Roman" w:hAnsiTheme="minorHAnsi"/>
              </w:rPr>
            </w:pPr>
            <w:r w:rsidRPr="00753072">
              <w:rPr>
                <w:rFonts w:asciiTheme="minorHAnsi" w:eastAsia="Times New Roman" w:hAnsiTheme="minorHAnsi"/>
                <w:color w:val="000000"/>
              </w:rPr>
              <w:t>241.8</w:t>
            </w:r>
          </w:p>
        </w:tc>
        <w:tc>
          <w:tcPr>
            <w:tcW w:w="1424" w:type="dxa"/>
            <w:tcBorders>
              <w:top w:val="nil"/>
              <w:bottom w:val="single" w:sz="4" w:space="0" w:color="auto"/>
            </w:tcBorders>
            <w:vAlign w:val="bottom"/>
          </w:tcPr>
          <w:p w14:paraId="671544AE" w14:textId="77777777" w:rsidR="00CA6589" w:rsidRPr="00753072" w:rsidRDefault="00CA6589" w:rsidP="000656C9">
            <w:pPr>
              <w:spacing w:line="276" w:lineRule="auto"/>
              <w:jc w:val="right"/>
              <w:rPr>
                <w:rFonts w:asciiTheme="minorHAnsi" w:eastAsia="Times New Roman" w:hAnsiTheme="minorHAnsi"/>
              </w:rPr>
            </w:pPr>
            <w:r>
              <w:rPr>
                <w:rFonts w:asciiTheme="minorHAnsi" w:eastAsia="Times New Roman" w:hAnsiTheme="minorHAnsi"/>
                <w:color w:val="000000"/>
              </w:rPr>
              <w:t>91.1</w:t>
            </w:r>
          </w:p>
        </w:tc>
      </w:tr>
    </w:tbl>
    <w:p w14:paraId="61A1E81B" w14:textId="77777777" w:rsidR="00CA6589" w:rsidRPr="00C40B08" w:rsidRDefault="00CA6589" w:rsidP="000656C9">
      <w:pPr>
        <w:pStyle w:val="TablesandFigures"/>
        <w:spacing w:line="276" w:lineRule="auto"/>
        <w:jc w:val="center"/>
        <w:rPr>
          <w:rFonts w:ascii="Calibri" w:hAnsi="Calibri"/>
          <w:color w:val="auto"/>
          <w:sz w:val="24"/>
          <w:szCs w:val="24"/>
        </w:rPr>
      </w:pPr>
    </w:p>
    <w:p w14:paraId="77D5B0CB" w14:textId="0C8A7198" w:rsidR="00690911" w:rsidRPr="00C40B08" w:rsidRDefault="00690911" w:rsidP="000656C9">
      <w:pPr>
        <w:spacing w:before="100" w:beforeAutospacing="1" w:after="100" w:afterAutospacing="1" w:line="276" w:lineRule="auto"/>
        <w:rPr>
          <w:rFonts w:ascii="Calibri" w:hAnsi="Calibri"/>
        </w:rPr>
      </w:pPr>
      <w:r w:rsidRPr="00C40B08">
        <w:rPr>
          <w:rFonts w:ascii="Calibri" w:hAnsi="Calibri"/>
        </w:rPr>
        <w:t xml:space="preserve">In the </w:t>
      </w:r>
      <w:r w:rsidR="00136071" w:rsidRPr="00C40B08">
        <w:rPr>
          <w:rFonts w:ascii="Calibri" w:hAnsi="Calibri"/>
        </w:rPr>
        <w:t>mitigation</w:t>
      </w:r>
      <w:r w:rsidRPr="00C40B08">
        <w:rPr>
          <w:rFonts w:ascii="Calibri" w:hAnsi="Calibri"/>
        </w:rPr>
        <w:t xml:space="preserve"> scenarios that simply impose carbon constraints, electricity bills would increase </w:t>
      </w:r>
      <w:r w:rsidR="00F52DE2" w:rsidRPr="00C40B08">
        <w:rPr>
          <w:rFonts w:ascii="Calibri" w:hAnsi="Calibri"/>
        </w:rPr>
        <w:t>by</w:t>
      </w:r>
      <w:r w:rsidRPr="00C40B08">
        <w:rPr>
          <w:rFonts w:ascii="Calibri" w:hAnsi="Calibri"/>
        </w:rPr>
        <w:t xml:space="preserve"> </w:t>
      </w:r>
      <w:r w:rsidR="00587007" w:rsidRPr="00C40B08">
        <w:rPr>
          <w:rFonts w:ascii="Calibri" w:hAnsi="Calibri"/>
        </w:rPr>
        <w:t>2</w:t>
      </w:r>
      <w:r w:rsidRPr="00C40B08">
        <w:rPr>
          <w:rFonts w:ascii="Calibri" w:hAnsi="Calibri"/>
        </w:rPr>
        <w:t>%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Pr="00C40B08">
        <w:rPr>
          <w:rFonts w:ascii="Calibri" w:hAnsi="Calibri"/>
        </w:rPr>
        <w:t xml:space="preserve">-Existing) and </w:t>
      </w:r>
      <w:r w:rsidR="00587007" w:rsidRPr="00C40B08">
        <w:rPr>
          <w:rFonts w:ascii="Calibri" w:hAnsi="Calibri"/>
        </w:rPr>
        <w:t>5</w:t>
      </w:r>
      <w:r w:rsidRPr="00C40B08">
        <w:rPr>
          <w:rFonts w:ascii="Calibri" w:hAnsi="Calibri"/>
        </w:rPr>
        <w:t>%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Pr="00C40B08">
        <w:rPr>
          <w:rFonts w:ascii="Calibri" w:hAnsi="Calibri"/>
        </w:rPr>
        <w:t xml:space="preserve">-All) in 2030 </w:t>
      </w:r>
      <w:r w:rsidR="00F52DE2" w:rsidRPr="00C40B08">
        <w:rPr>
          <w:rFonts w:ascii="Calibri" w:hAnsi="Calibri"/>
        </w:rPr>
        <w:t>above</w:t>
      </w:r>
      <w:r w:rsidRPr="00C40B08">
        <w:rPr>
          <w:rFonts w:ascii="Calibri" w:hAnsi="Calibri"/>
        </w:rPr>
        <w:t xml:space="preserve"> the Reference case forecast</w:t>
      </w:r>
      <w:r w:rsidR="00F52DE2" w:rsidRPr="00C40B08">
        <w:rPr>
          <w:rFonts w:ascii="Calibri" w:hAnsi="Calibri"/>
        </w:rPr>
        <w:t>.</w:t>
      </w:r>
      <w:r w:rsidRPr="00C40B08">
        <w:rPr>
          <w:rFonts w:ascii="Calibri" w:hAnsi="Calibri"/>
        </w:rPr>
        <w:t xml:space="preserve"> However, with enhanced energy efficiency, the </w:t>
      </w:r>
      <w:r w:rsidR="00AD2619">
        <w:rPr>
          <w:rFonts w:ascii="Calibri" w:hAnsi="Calibri"/>
        </w:rPr>
        <w:t>mitigation</w:t>
      </w:r>
      <w:r w:rsidRPr="00C40B08">
        <w:rPr>
          <w:rFonts w:ascii="Calibri" w:hAnsi="Calibri"/>
        </w:rPr>
        <w:t xml:space="preserve"> scenarios generate economy-wide electricity bills per capita that are lower than those forecast for 2030 in the Reference case</w:t>
      </w:r>
      <w:r w:rsidR="00242FA8" w:rsidRPr="00C40B08">
        <w:rPr>
          <w:rFonts w:ascii="Calibri" w:hAnsi="Calibri"/>
        </w:rPr>
        <w:t xml:space="preserve"> – by </w:t>
      </w:r>
      <w:r w:rsidRPr="00C40B08">
        <w:rPr>
          <w:rFonts w:ascii="Calibri" w:hAnsi="Calibri"/>
        </w:rPr>
        <w:t>$10</w:t>
      </w:r>
      <w:r w:rsidR="00587007" w:rsidRPr="00C40B08">
        <w:rPr>
          <w:rFonts w:ascii="Calibri" w:hAnsi="Calibri"/>
        </w:rPr>
        <w:t>4.8</w:t>
      </w:r>
      <w:r w:rsidRPr="00C40B08">
        <w:rPr>
          <w:rFonts w:ascii="Calibri" w:hAnsi="Calibri"/>
        </w:rPr>
        <w:t xml:space="preserve"> in 2030 (in $2013), with similar savings in earlier and later years. These savings allow residential consumers and businesses to </w:t>
      </w:r>
      <w:r w:rsidR="00F52DE2" w:rsidRPr="00C40B08">
        <w:rPr>
          <w:rFonts w:ascii="Calibri" w:hAnsi="Calibri"/>
        </w:rPr>
        <w:t>invest in efficient equipment and in other</w:t>
      </w:r>
      <w:r w:rsidRPr="00C40B08">
        <w:rPr>
          <w:rFonts w:ascii="Calibri" w:hAnsi="Calibri"/>
        </w:rPr>
        <w:t xml:space="preserve"> goods and services that </w:t>
      </w:r>
      <w:r w:rsidR="00F52DE2" w:rsidRPr="00C40B08">
        <w:rPr>
          <w:rFonts w:ascii="Calibri" w:hAnsi="Calibri"/>
        </w:rPr>
        <w:t>are generally more labor-intensive and less capital intensive than the power generation that is being displaced</w:t>
      </w:r>
      <w:r w:rsidRPr="00C40B08">
        <w:rPr>
          <w:rFonts w:ascii="Calibri" w:hAnsi="Calibri"/>
        </w:rPr>
        <w:t>.</w:t>
      </w:r>
    </w:p>
    <w:p w14:paraId="4FB538BA" w14:textId="713388A7" w:rsidR="00690911" w:rsidRPr="00C40B08" w:rsidRDefault="00690911" w:rsidP="000656C9">
      <w:pPr>
        <w:spacing w:before="100" w:beforeAutospacing="1" w:after="100" w:afterAutospacing="1" w:line="276" w:lineRule="auto"/>
        <w:rPr>
          <w:rFonts w:ascii="Calibri" w:hAnsi="Calibri"/>
        </w:rPr>
      </w:pPr>
      <w:r w:rsidRPr="00C40B08">
        <w:rPr>
          <w:rFonts w:ascii="Calibri" w:hAnsi="Calibri"/>
        </w:rPr>
        <w:t xml:space="preserve">As indicated in </w:t>
      </w:r>
      <w:r w:rsidR="006A1FED" w:rsidRPr="00C40B08">
        <w:rPr>
          <w:rFonts w:ascii="Calibri" w:hAnsi="Calibri"/>
        </w:rPr>
        <w:t>Table 1</w:t>
      </w:r>
      <w:r w:rsidRPr="00C40B08">
        <w:rPr>
          <w:rFonts w:ascii="Calibri" w:hAnsi="Calibri"/>
        </w:rPr>
        <w:t xml:space="preserve">, </w:t>
      </w:r>
      <w:r w:rsidR="00F20C2B" w:rsidRPr="00C40B08">
        <w:rPr>
          <w:rFonts w:ascii="Calibri" w:hAnsi="Calibri"/>
        </w:rPr>
        <w:t>residential</w:t>
      </w:r>
      <w:r w:rsidRPr="00C40B08">
        <w:rPr>
          <w:rFonts w:ascii="Calibri" w:hAnsi="Calibri"/>
        </w:rPr>
        <w:t xml:space="preserve"> electricity bills per capita would be $5</w:t>
      </w:r>
      <w:r w:rsidR="00587007" w:rsidRPr="00C40B08">
        <w:rPr>
          <w:rFonts w:ascii="Calibri" w:hAnsi="Calibri"/>
        </w:rPr>
        <w:t>55</w:t>
      </w:r>
      <w:r w:rsidRPr="00C40B08">
        <w:rPr>
          <w:rFonts w:ascii="Calibri" w:hAnsi="Calibri"/>
        </w:rPr>
        <w:t xml:space="preserve"> </w:t>
      </w:r>
      <w:r w:rsidR="00F20C2B" w:rsidRPr="00C40B08">
        <w:rPr>
          <w:rFonts w:ascii="Calibri" w:hAnsi="Calibri"/>
        </w:rPr>
        <w:t xml:space="preserve">(in $2013) </w:t>
      </w:r>
      <w:r w:rsidRPr="00C40B08">
        <w:rPr>
          <w:rFonts w:ascii="Calibri" w:hAnsi="Calibri"/>
        </w:rPr>
        <w:t>in the Reference Case in 2030, totaling ne</w:t>
      </w:r>
      <w:r w:rsidR="00AF6ADC" w:rsidRPr="00C40B08">
        <w:rPr>
          <w:rFonts w:ascii="Calibri" w:hAnsi="Calibri"/>
        </w:rPr>
        <w:t>arly $200 billion across the 359</w:t>
      </w:r>
      <w:r w:rsidRPr="00C40B08">
        <w:rPr>
          <w:rFonts w:ascii="Calibri" w:hAnsi="Calibri"/>
        </w:rPr>
        <w:t xml:space="preserve"> million population of the U.S. projected for that year. Per capita electricity bills would be only $504 in the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Pr="00C40B08">
        <w:rPr>
          <w:rFonts w:ascii="Calibri" w:hAnsi="Calibri"/>
        </w:rPr>
        <w:t>-ALL+</w:t>
      </w:r>
      <w:r w:rsidR="000D23AF" w:rsidRPr="00C40B08">
        <w:rPr>
          <w:rFonts w:ascii="Calibri" w:hAnsi="Calibri"/>
        </w:rPr>
        <w:t>EE</w:t>
      </w:r>
      <w:r w:rsidRPr="00C40B08">
        <w:rPr>
          <w:rFonts w:ascii="Calibri" w:hAnsi="Calibri"/>
        </w:rPr>
        <w:t xml:space="preserve"> scenario in 2030, resulting in $</w:t>
      </w:r>
      <w:r w:rsidR="00587007" w:rsidRPr="00C40B08">
        <w:rPr>
          <w:rFonts w:ascii="Calibri" w:hAnsi="Calibri"/>
        </w:rPr>
        <w:t>5</w:t>
      </w:r>
      <w:r w:rsidR="00F20C2B" w:rsidRPr="00C40B08">
        <w:rPr>
          <w:rFonts w:ascii="Calibri" w:hAnsi="Calibri"/>
        </w:rPr>
        <w:t>3</w:t>
      </w:r>
      <w:r w:rsidRPr="00C40B08">
        <w:rPr>
          <w:rFonts w:ascii="Calibri" w:hAnsi="Calibri"/>
        </w:rPr>
        <w:t xml:space="preserve"> in savings per capita and $</w:t>
      </w:r>
      <w:r w:rsidR="00587007" w:rsidRPr="00C40B08">
        <w:rPr>
          <w:rFonts w:ascii="Calibri" w:hAnsi="Calibri"/>
        </w:rPr>
        <w:t xml:space="preserve">133 </w:t>
      </w:r>
      <w:r w:rsidRPr="00C40B08">
        <w:rPr>
          <w:rFonts w:ascii="Calibri" w:hAnsi="Calibri"/>
        </w:rPr>
        <w:t>per hous</w:t>
      </w:r>
      <w:r w:rsidR="00F52DE2" w:rsidRPr="00C40B08">
        <w:rPr>
          <w:rFonts w:ascii="Calibri" w:hAnsi="Calibri"/>
        </w:rPr>
        <w:t>ehold in that year</w:t>
      </w:r>
      <w:r w:rsidRPr="00C40B08">
        <w:rPr>
          <w:rFonts w:ascii="Calibri" w:hAnsi="Calibri"/>
        </w:rPr>
        <w:t>. Cumulative savings over the 15 years would be much greater, at $</w:t>
      </w:r>
      <w:r w:rsidR="00587007" w:rsidRPr="00C40B08">
        <w:rPr>
          <w:rFonts w:ascii="Calibri" w:hAnsi="Calibri"/>
        </w:rPr>
        <w:t>1645</w:t>
      </w:r>
      <w:r w:rsidRPr="00C40B08">
        <w:rPr>
          <w:rFonts w:ascii="Calibri" w:hAnsi="Calibri"/>
        </w:rPr>
        <w:t xml:space="preserve"> per household. Across the U.S., households could experience cumulative electricity savings of $</w:t>
      </w:r>
      <w:r w:rsidR="00587007" w:rsidRPr="00C40B08">
        <w:rPr>
          <w:rFonts w:ascii="Calibri" w:hAnsi="Calibri"/>
        </w:rPr>
        <w:t xml:space="preserve">218 </w:t>
      </w:r>
      <w:r w:rsidRPr="00C40B08">
        <w:rPr>
          <w:rFonts w:ascii="Calibri" w:hAnsi="Calibri"/>
        </w:rPr>
        <w:t>billion</w:t>
      </w:r>
      <w:r w:rsidR="00EB528E" w:rsidRPr="00C40B08">
        <w:rPr>
          <w:rFonts w:ascii="Calibri" w:hAnsi="Calibri"/>
        </w:rPr>
        <w:t>, where savings are estimated as the difference between the Reference Case forecast and electricity bills from the CO</w:t>
      </w:r>
      <w:r w:rsidR="00EB528E" w:rsidRPr="00C40B08">
        <w:rPr>
          <w:rFonts w:ascii="Calibri" w:hAnsi="Calibri"/>
          <w:vertAlign w:val="subscript"/>
        </w:rPr>
        <w:t>2</w:t>
      </w:r>
      <w:r w:rsidR="00AD2619">
        <w:rPr>
          <w:rFonts w:ascii="Calibri" w:hAnsi="Calibri"/>
        </w:rPr>
        <w:t>-Cap-All+EE scenario</w:t>
      </w:r>
      <w:r w:rsidRPr="00C40B08">
        <w:rPr>
          <w:rFonts w:ascii="Calibri" w:hAnsi="Calibri"/>
        </w:rPr>
        <w:t xml:space="preserve">. </w:t>
      </w:r>
      <w:r w:rsidR="00A65F60" w:rsidRPr="00C40B08">
        <w:rPr>
          <w:rFonts w:ascii="Calibri" w:hAnsi="Calibri"/>
        </w:rPr>
        <w:t>Thus,</w:t>
      </w:r>
      <w:r w:rsidRPr="00C40B08">
        <w:rPr>
          <w:rFonts w:ascii="Calibri" w:hAnsi="Calibri"/>
        </w:rPr>
        <w:t xml:space="preserve"> compliance with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w:t>
      </w:r>
      <w:r w:rsidRPr="00C40B08">
        <w:rPr>
          <w:rFonts w:ascii="Calibri" w:hAnsi="Calibri"/>
        </w:rPr>
        <w:t xml:space="preserve">mass-based goals can be achieved while </w:t>
      </w:r>
      <w:r w:rsidR="00A65F60" w:rsidRPr="00C40B08">
        <w:rPr>
          <w:rFonts w:ascii="Calibri" w:hAnsi="Calibri"/>
        </w:rPr>
        <w:t>avoiding</w:t>
      </w:r>
      <w:r w:rsidRPr="00C40B08">
        <w:rPr>
          <w:rFonts w:ascii="Calibri" w:hAnsi="Calibri"/>
        </w:rPr>
        <w:t xml:space="preserve"> the increase in electricity bills forecast by the Reference case</w:t>
      </w:r>
      <w:r w:rsidR="00EB528E" w:rsidRPr="00C40B08">
        <w:rPr>
          <w:rFonts w:ascii="Calibri" w:hAnsi="Calibri"/>
        </w:rPr>
        <w:t>.</w:t>
      </w:r>
    </w:p>
    <w:p w14:paraId="7154AE59" w14:textId="3121218A" w:rsidR="00EC79DA" w:rsidRPr="00C40B08" w:rsidRDefault="00AD2619" w:rsidP="000656C9">
      <w:pPr>
        <w:pStyle w:val="Footnote"/>
        <w:spacing w:before="100" w:beforeAutospacing="1" w:after="100" w:afterAutospacing="1" w:line="276" w:lineRule="auto"/>
        <w:rPr>
          <w:sz w:val="24"/>
          <w:szCs w:val="24"/>
        </w:rPr>
      </w:pPr>
      <w:r>
        <w:rPr>
          <w:sz w:val="24"/>
          <w:szCs w:val="24"/>
        </w:rPr>
        <w:t>Mitigation</w:t>
      </w:r>
      <w:r w:rsidR="00A17141" w:rsidRPr="00C40B08">
        <w:rPr>
          <w:sz w:val="24"/>
          <w:szCs w:val="24"/>
        </w:rPr>
        <w:t xml:space="preserve"> costs </w:t>
      </w:r>
      <w:r w:rsidR="009C41D8" w:rsidRPr="00C40B08">
        <w:rPr>
          <w:sz w:val="24"/>
          <w:szCs w:val="24"/>
        </w:rPr>
        <w:t xml:space="preserve">in 2030 </w:t>
      </w:r>
      <w:r w:rsidR="00A17141" w:rsidRPr="00C40B08">
        <w:rPr>
          <w:sz w:val="24"/>
          <w:szCs w:val="24"/>
        </w:rPr>
        <w:t xml:space="preserve">are estimated by comparing </w:t>
      </w:r>
      <w:r w:rsidR="000C3DC6" w:rsidRPr="00C40B08">
        <w:rPr>
          <w:sz w:val="24"/>
          <w:szCs w:val="24"/>
        </w:rPr>
        <w:t xml:space="preserve">the </w:t>
      </w:r>
      <w:r w:rsidR="00A17141" w:rsidRPr="00C40B08">
        <w:rPr>
          <w:sz w:val="24"/>
          <w:szCs w:val="24"/>
        </w:rPr>
        <w:t xml:space="preserve">costs </w:t>
      </w:r>
      <w:r w:rsidR="000C3DC6" w:rsidRPr="00C40B08">
        <w:rPr>
          <w:sz w:val="24"/>
          <w:szCs w:val="24"/>
        </w:rPr>
        <w:t>of</w:t>
      </w:r>
      <w:r w:rsidR="00A17141" w:rsidRPr="00C40B08">
        <w:rPr>
          <w:sz w:val="24"/>
          <w:szCs w:val="24"/>
        </w:rPr>
        <w:t xml:space="preserve"> the </w:t>
      </w:r>
      <w:r w:rsidR="00543DD2" w:rsidRPr="00C40B08">
        <w:rPr>
          <w:sz w:val="24"/>
          <w:szCs w:val="24"/>
        </w:rPr>
        <w:t>R</w:t>
      </w:r>
      <w:r w:rsidR="00A17141" w:rsidRPr="00C40B08">
        <w:rPr>
          <w:sz w:val="24"/>
          <w:szCs w:val="24"/>
        </w:rPr>
        <w:t>eference case</w:t>
      </w:r>
      <w:r w:rsidR="000C3DC6" w:rsidRPr="00C40B08">
        <w:rPr>
          <w:sz w:val="24"/>
          <w:szCs w:val="24"/>
        </w:rPr>
        <w:t xml:space="preserve"> forecast with the costs of each </w:t>
      </w:r>
      <w:r>
        <w:rPr>
          <w:sz w:val="24"/>
          <w:szCs w:val="24"/>
        </w:rPr>
        <w:t>mitigation</w:t>
      </w:r>
      <w:r w:rsidR="000C3DC6" w:rsidRPr="00C40B08">
        <w:rPr>
          <w:sz w:val="24"/>
          <w:szCs w:val="24"/>
        </w:rPr>
        <w:t xml:space="preserve"> scenario</w:t>
      </w:r>
      <w:r w:rsidR="00A17141" w:rsidRPr="00C40B08">
        <w:rPr>
          <w:sz w:val="24"/>
          <w:szCs w:val="24"/>
        </w:rPr>
        <w:t xml:space="preserve">. </w:t>
      </w:r>
      <w:r w:rsidR="000C3DC6" w:rsidRPr="00C40B08">
        <w:rPr>
          <w:sz w:val="24"/>
          <w:szCs w:val="24"/>
        </w:rPr>
        <w:t>We consider</w:t>
      </w:r>
      <w:r w:rsidR="00A17141" w:rsidRPr="00C40B08">
        <w:rPr>
          <w:sz w:val="24"/>
          <w:szCs w:val="24"/>
        </w:rPr>
        <w:t xml:space="preserve"> three types of co</w:t>
      </w:r>
      <w:r w:rsidR="000C3DC6" w:rsidRPr="00C40B08">
        <w:rPr>
          <w:sz w:val="24"/>
          <w:szCs w:val="24"/>
        </w:rPr>
        <w:t xml:space="preserve">sts: </w:t>
      </w:r>
      <w:r w:rsidR="00A17141" w:rsidRPr="00C40B08">
        <w:rPr>
          <w:sz w:val="24"/>
          <w:szCs w:val="24"/>
        </w:rPr>
        <w:t xml:space="preserve">the utility resource </w:t>
      </w:r>
      <w:r w:rsidR="00A17141" w:rsidRPr="00C40B08">
        <w:rPr>
          <w:sz w:val="24"/>
          <w:szCs w:val="24"/>
        </w:rPr>
        <w:lastRenderedPageBreak/>
        <w:t>costs</w:t>
      </w:r>
      <w:r w:rsidR="000C3DC6" w:rsidRPr="00C40B08">
        <w:rPr>
          <w:sz w:val="24"/>
          <w:szCs w:val="24"/>
        </w:rPr>
        <w:t xml:space="preserve"> detailed in Table 2</w:t>
      </w:r>
      <w:r w:rsidR="00A17141" w:rsidRPr="00C40B08">
        <w:rPr>
          <w:sz w:val="24"/>
          <w:szCs w:val="24"/>
        </w:rPr>
        <w:t xml:space="preserve"> </w:t>
      </w:r>
      <w:r w:rsidR="000C3DC6" w:rsidRPr="00C40B08">
        <w:rPr>
          <w:sz w:val="24"/>
          <w:szCs w:val="24"/>
        </w:rPr>
        <w:t xml:space="preserve">and </w:t>
      </w:r>
      <w:r w:rsidR="00A17141" w:rsidRPr="00C40B08">
        <w:rPr>
          <w:sz w:val="24"/>
          <w:szCs w:val="24"/>
        </w:rPr>
        <w:t xml:space="preserve">the energy-efficiency investment </w:t>
      </w:r>
      <w:r w:rsidR="000C3DC6" w:rsidRPr="00C40B08">
        <w:rPr>
          <w:sz w:val="24"/>
          <w:szCs w:val="24"/>
        </w:rPr>
        <w:t>and administrative costs detailed in Table 3</w:t>
      </w:r>
      <w:r w:rsidR="002932AE" w:rsidRPr="00C40B08">
        <w:rPr>
          <w:rStyle w:val="FootnoteReference"/>
          <w:sz w:val="24"/>
          <w:szCs w:val="24"/>
        </w:rPr>
        <w:footnoteReference w:id="5"/>
      </w:r>
      <w:r w:rsidR="000C3DC6" w:rsidRPr="00C40B08">
        <w:rPr>
          <w:sz w:val="24"/>
          <w:szCs w:val="24"/>
        </w:rPr>
        <w:t xml:space="preserve">. </w:t>
      </w:r>
    </w:p>
    <w:p w14:paraId="4934FB71" w14:textId="5A0D3CFC" w:rsidR="009C41D8" w:rsidRPr="00C40B08" w:rsidRDefault="000C3DC6" w:rsidP="000656C9">
      <w:pPr>
        <w:pStyle w:val="Footnote"/>
        <w:spacing w:before="100" w:beforeAutospacing="1" w:after="100" w:afterAutospacing="1" w:line="276" w:lineRule="auto"/>
        <w:rPr>
          <w:sz w:val="24"/>
          <w:szCs w:val="24"/>
        </w:rPr>
      </w:pPr>
      <w:r w:rsidRPr="00C40B08">
        <w:rPr>
          <w:sz w:val="24"/>
          <w:szCs w:val="24"/>
        </w:rPr>
        <w:t xml:space="preserve">Overall costs of the Reference case are estimated to be </w:t>
      </w:r>
      <w:r w:rsidR="00EC79DA" w:rsidRPr="00C40B08">
        <w:rPr>
          <w:sz w:val="24"/>
          <w:szCs w:val="24"/>
        </w:rPr>
        <w:t>$5.16 billion less than the costs of the CO</w:t>
      </w:r>
      <w:r w:rsidR="00EC79DA" w:rsidRPr="00C40B08">
        <w:rPr>
          <w:sz w:val="24"/>
          <w:szCs w:val="24"/>
          <w:vertAlign w:val="subscript"/>
        </w:rPr>
        <w:t>2</w:t>
      </w:r>
      <w:r w:rsidR="00EC79DA" w:rsidRPr="00C40B08">
        <w:rPr>
          <w:sz w:val="24"/>
          <w:szCs w:val="24"/>
        </w:rPr>
        <w:t xml:space="preserve">-Cap-Existing </w:t>
      </w:r>
      <w:r w:rsidR="00AD2619">
        <w:rPr>
          <w:sz w:val="24"/>
          <w:szCs w:val="24"/>
        </w:rPr>
        <w:t>mitigation</w:t>
      </w:r>
      <w:r w:rsidR="00EC79DA" w:rsidRPr="00C40B08">
        <w:rPr>
          <w:sz w:val="24"/>
          <w:szCs w:val="24"/>
        </w:rPr>
        <w:t xml:space="preserve"> scenario and </w:t>
      </w:r>
      <w:r w:rsidRPr="00C40B08">
        <w:rPr>
          <w:sz w:val="24"/>
          <w:szCs w:val="24"/>
        </w:rPr>
        <w:t>$6.</w:t>
      </w:r>
      <w:r w:rsidR="003414B0" w:rsidRPr="00C40B08">
        <w:rPr>
          <w:sz w:val="24"/>
          <w:szCs w:val="24"/>
        </w:rPr>
        <w:t>54</w:t>
      </w:r>
      <w:r w:rsidRPr="00C40B08">
        <w:rPr>
          <w:sz w:val="24"/>
          <w:szCs w:val="24"/>
        </w:rPr>
        <w:t xml:space="preserve"> billion less than the costs of the </w:t>
      </w:r>
      <w:r w:rsidR="00EB528E" w:rsidRPr="00C40B08">
        <w:rPr>
          <w:sz w:val="24"/>
          <w:szCs w:val="24"/>
        </w:rPr>
        <w:t>CO</w:t>
      </w:r>
      <w:r w:rsidR="00EB528E" w:rsidRPr="00C40B08">
        <w:rPr>
          <w:sz w:val="24"/>
          <w:szCs w:val="24"/>
          <w:vertAlign w:val="subscript"/>
        </w:rPr>
        <w:t>2</w:t>
      </w:r>
      <w:r w:rsidR="00EB528E" w:rsidRPr="00C40B08">
        <w:rPr>
          <w:sz w:val="24"/>
          <w:szCs w:val="24"/>
        </w:rPr>
        <w:t>-Cap</w:t>
      </w:r>
      <w:r w:rsidRPr="00C40B08">
        <w:rPr>
          <w:sz w:val="24"/>
          <w:szCs w:val="24"/>
        </w:rPr>
        <w:t xml:space="preserve">-All </w:t>
      </w:r>
      <w:r w:rsidR="00AD2619">
        <w:rPr>
          <w:sz w:val="24"/>
          <w:szCs w:val="24"/>
        </w:rPr>
        <w:t>mitigation</w:t>
      </w:r>
      <w:r w:rsidRPr="00C40B08">
        <w:rPr>
          <w:sz w:val="24"/>
          <w:szCs w:val="24"/>
        </w:rPr>
        <w:t xml:space="preserve"> scenario</w:t>
      </w:r>
      <w:r w:rsidR="00EC79DA" w:rsidRPr="00C40B08">
        <w:rPr>
          <w:sz w:val="24"/>
          <w:szCs w:val="24"/>
        </w:rPr>
        <w:t xml:space="preserve">. In contrast, </w:t>
      </w:r>
      <w:r w:rsidR="00AD2619">
        <w:rPr>
          <w:sz w:val="24"/>
          <w:szCs w:val="24"/>
        </w:rPr>
        <w:t>mitigation</w:t>
      </w:r>
      <w:r w:rsidR="00EC79DA" w:rsidRPr="00C40B08">
        <w:rPr>
          <w:sz w:val="24"/>
          <w:szCs w:val="24"/>
        </w:rPr>
        <w:t xml:space="preserve"> costs for the scenarios with strong energy efficiency are lower than the overall costs of the Reference case – by $2.55 billion</w:t>
      </w:r>
      <w:r w:rsidRPr="00C40B08">
        <w:rPr>
          <w:sz w:val="24"/>
          <w:szCs w:val="24"/>
        </w:rPr>
        <w:t xml:space="preserve"> </w:t>
      </w:r>
      <w:r w:rsidR="00EC79DA" w:rsidRPr="00C40B08">
        <w:rPr>
          <w:sz w:val="24"/>
          <w:szCs w:val="24"/>
        </w:rPr>
        <w:t>in the CO</w:t>
      </w:r>
      <w:r w:rsidR="00EC79DA" w:rsidRPr="00C40B08">
        <w:rPr>
          <w:sz w:val="24"/>
          <w:szCs w:val="24"/>
          <w:vertAlign w:val="subscript"/>
        </w:rPr>
        <w:t>2</w:t>
      </w:r>
      <w:r w:rsidR="00EC79DA" w:rsidRPr="00C40B08">
        <w:rPr>
          <w:sz w:val="24"/>
          <w:szCs w:val="24"/>
        </w:rPr>
        <w:t>-Cap-Existing+EE scenario and by $2.95 billion in</w:t>
      </w:r>
      <w:r w:rsidRPr="00C40B08">
        <w:rPr>
          <w:sz w:val="24"/>
          <w:szCs w:val="24"/>
        </w:rPr>
        <w:t xml:space="preserve"> the </w:t>
      </w:r>
      <w:r w:rsidR="00EB528E" w:rsidRPr="00C40B08">
        <w:rPr>
          <w:sz w:val="24"/>
          <w:szCs w:val="24"/>
        </w:rPr>
        <w:t>CO</w:t>
      </w:r>
      <w:r w:rsidR="00EB528E" w:rsidRPr="00C40B08">
        <w:rPr>
          <w:sz w:val="24"/>
          <w:szCs w:val="24"/>
          <w:vertAlign w:val="subscript"/>
        </w:rPr>
        <w:t>2</w:t>
      </w:r>
      <w:r w:rsidR="00EB528E" w:rsidRPr="00C40B08">
        <w:rPr>
          <w:sz w:val="24"/>
          <w:szCs w:val="24"/>
        </w:rPr>
        <w:t>-Cap</w:t>
      </w:r>
      <w:r w:rsidRPr="00C40B08">
        <w:rPr>
          <w:sz w:val="24"/>
          <w:szCs w:val="24"/>
        </w:rPr>
        <w:t xml:space="preserve">-All+EE scenario. Thus, the cost reductions enabled by strong energy-efficiency policies would deliver net benefits to the economy. </w:t>
      </w:r>
    </w:p>
    <w:p w14:paraId="08DBFD9C" w14:textId="5E3D22ED" w:rsidR="00F83ECF" w:rsidRPr="00C40B08" w:rsidRDefault="008F24CA" w:rsidP="000656C9">
      <w:pPr>
        <w:pStyle w:val="Footnote"/>
        <w:spacing w:before="100" w:beforeAutospacing="1" w:after="100" w:afterAutospacing="1" w:line="276" w:lineRule="auto"/>
        <w:rPr>
          <w:sz w:val="24"/>
          <w:szCs w:val="24"/>
        </w:rPr>
      </w:pPr>
      <w:r w:rsidRPr="00C40B08">
        <w:rPr>
          <w:sz w:val="24"/>
          <w:szCs w:val="24"/>
        </w:rPr>
        <w:t xml:space="preserve">Comparing </w:t>
      </w:r>
      <w:r w:rsidR="00543DD2" w:rsidRPr="00C40B08">
        <w:rPr>
          <w:sz w:val="24"/>
          <w:szCs w:val="24"/>
        </w:rPr>
        <w:t xml:space="preserve">costs </w:t>
      </w:r>
      <w:r w:rsidRPr="00C40B08">
        <w:rPr>
          <w:sz w:val="24"/>
          <w:szCs w:val="24"/>
        </w:rPr>
        <w:t xml:space="preserve">across scenarios shows how </w:t>
      </w:r>
      <w:r w:rsidR="00543DD2" w:rsidRPr="00C40B08">
        <w:rPr>
          <w:sz w:val="24"/>
          <w:szCs w:val="24"/>
        </w:rPr>
        <w:t xml:space="preserve">expenses </w:t>
      </w:r>
      <w:r w:rsidRPr="00C40B08">
        <w:rPr>
          <w:sz w:val="24"/>
          <w:szCs w:val="24"/>
        </w:rPr>
        <w:t>shift depending on the policy path taken</w:t>
      </w:r>
      <w:r w:rsidR="009C41D8" w:rsidRPr="00C40B08">
        <w:rPr>
          <w:sz w:val="24"/>
          <w:szCs w:val="24"/>
        </w:rPr>
        <w:t>. Nine</w:t>
      </w:r>
      <w:r w:rsidRPr="00C40B08">
        <w:rPr>
          <w:sz w:val="24"/>
          <w:szCs w:val="24"/>
        </w:rPr>
        <w:t xml:space="preserve"> types of utility resource costs</w:t>
      </w:r>
      <w:r w:rsidR="009C41D8" w:rsidRPr="00C40B08">
        <w:rPr>
          <w:sz w:val="24"/>
          <w:szCs w:val="24"/>
        </w:rPr>
        <w:t xml:space="preserve"> are examined</w:t>
      </w:r>
      <w:r w:rsidRPr="00C40B08">
        <w:rPr>
          <w:sz w:val="24"/>
          <w:szCs w:val="24"/>
        </w:rPr>
        <w:t xml:space="preserve">. </w:t>
      </w:r>
      <w:r w:rsidR="00CE2F89" w:rsidRPr="00C40B08">
        <w:rPr>
          <w:sz w:val="24"/>
          <w:szCs w:val="24"/>
        </w:rPr>
        <w:t>Compared to the Reference case forecast for 2030, f</w:t>
      </w:r>
      <w:r w:rsidR="00F83ECF" w:rsidRPr="00C40B08">
        <w:rPr>
          <w:sz w:val="24"/>
          <w:szCs w:val="24"/>
        </w:rPr>
        <w:t>our</w:t>
      </w:r>
      <w:r w:rsidRPr="00C40B08">
        <w:rPr>
          <w:sz w:val="24"/>
          <w:szCs w:val="24"/>
        </w:rPr>
        <w:t xml:space="preserve"> of these </w:t>
      </w:r>
      <w:r w:rsidR="00D54E66" w:rsidRPr="00C40B08">
        <w:rPr>
          <w:sz w:val="24"/>
          <w:szCs w:val="24"/>
        </w:rPr>
        <w:t xml:space="preserve">types of costs </w:t>
      </w:r>
      <w:r w:rsidRPr="00C40B08">
        <w:rPr>
          <w:sz w:val="24"/>
          <w:szCs w:val="24"/>
        </w:rPr>
        <w:t xml:space="preserve">are higher for the </w:t>
      </w:r>
      <w:r w:rsidR="00AD2619">
        <w:rPr>
          <w:sz w:val="24"/>
          <w:szCs w:val="24"/>
        </w:rPr>
        <w:t>mitigation</w:t>
      </w:r>
      <w:r w:rsidRPr="00C40B08">
        <w:rPr>
          <w:sz w:val="24"/>
          <w:szCs w:val="24"/>
        </w:rPr>
        <w:t xml:space="preserve"> scenarios</w:t>
      </w:r>
      <w:r w:rsidR="00D54E66" w:rsidRPr="00C40B08">
        <w:rPr>
          <w:sz w:val="24"/>
          <w:szCs w:val="24"/>
        </w:rPr>
        <w:t xml:space="preserve"> that do not include strong energy efficiency, but are lower </w:t>
      </w:r>
      <w:r w:rsidR="00CE2F89" w:rsidRPr="00C40B08">
        <w:rPr>
          <w:sz w:val="24"/>
          <w:szCs w:val="24"/>
        </w:rPr>
        <w:t>for</w:t>
      </w:r>
      <w:r w:rsidR="00D54E66" w:rsidRPr="00C40B08">
        <w:rPr>
          <w:sz w:val="24"/>
          <w:szCs w:val="24"/>
        </w:rPr>
        <w:t xml:space="preserve"> </w:t>
      </w:r>
      <w:r w:rsidR="00CE2F89" w:rsidRPr="00C40B08">
        <w:rPr>
          <w:sz w:val="24"/>
          <w:szCs w:val="24"/>
        </w:rPr>
        <w:t xml:space="preserve">the </w:t>
      </w:r>
      <w:r w:rsidR="00AD2619">
        <w:rPr>
          <w:sz w:val="24"/>
          <w:szCs w:val="24"/>
        </w:rPr>
        <w:t>mitigation</w:t>
      </w:r>
      <w:r w:rsidR="00D54E66" w:rsidRPr="00C40B08">
        <w:rPr>
          <w:sz w:val="24"/>
          <w:szCs w:val="24"/>
        </w:rPr>
        <w:t xml:space="preserve"> strategies with strong energy-efficiency</w:t>
      </w:r>
      <w:r w:rsidRPr="00C40B08">
        <w:rPr>
          <w:sz w:val="24"/>
          <w:szCs w:val="24"/>
        </w:rPr>
        <w:t xml:space="preserve">. </w:t>
      </w:r>
      <w:r w:rsidR="00B72E13" w:rsidRPr="00C40B08">
        <w:rPr>
          <w:sz w:val="24"/>
          <w:szCs w:val="24"/>
        </w:rPr>
        <w:t>Each of</w:t>
      </w:r>
      <w:r w:rsidR="00F83ECF" w:rsidRPr="00C40B08">
        <w:rPr>
          <w:sz w:val="24"/>
          <w:szCs w:val="24"/>
        </w:rPr>
        <w:t xml:space="preserve"> t</w:t>
      </w:r>
      <w:r w:rsidRPr="00C40B08">
        <w:rPr>
          <w:sz w:val="24"/>
          <w:szCs w:val="24"/>
        </w:rPr>
        <w:t xml:space="preserve">hese </w:t>
      </w:r>
      <w:r w:rsidR="00D54E66" w:rsidRPr="00C40B08">
        <w:rPr>
          <w:sz w:val="24"/>
          <w:szCs w:val="24"/>
        </w:rPr>
        <w:t xml:space="preserve">types of utility resource costs are </w:t>
      </w:r>
      <w:r w:rsidR="002B6650" w:rsidRPr="00C40B08">
        <w:rPr>
          <w:sz w:val="24"/>
          <w:szCs w:val="24"/>
        </w:rPr>
        <w:t xml:space="preserve">lower </w:t>
      </w:r>
      <w:r w:rsidR="00D54E66" w:rsidRPr="00C40B08">
        <w:rPr>
          <w:sz w:val="24"/>
          <w:szCs w:val="24"/>
        </w:rPr>
        <w:t>when demand is reduced</w:t>
      </w:r>
      <w:r w:rsidR="00C51ABF" w:rsidRPr="00C40B08">
        <w:rPr>
          <w:sz w:val="24"/>
          <w:szCs w:val="24"/>
        </w:rPr>
        <w:t xml:space="preserve">. </w:t>
      </w:r>
      <w:r w:rsidRPr="00C40B08">
        <w:rPr>
          <w:sz w:val="24"/>
          <w:szCs w:val="24"/>
        </w:rPr>
        <w:t>Installed capacity costs (</w:t>
      </w:r>
      <w:r w:rsidR="00D54E66" w:rsidRPr="00C40B08">
        <w:rPr>
          <w:sz w:val="24"/>
          <w:szCs w:val="24"/>
        </w:rPr>
        <w:t>based</w:t>
      </w:r>
      <w:r w:rsidRPr="00C40B08">
        <w:rPr>
          <w:sz w:val="24"/>
          <w:szCs w:val="24"/>
        </w:rPr>
        <w:t xml:space="preserve"> on capacity completed in 2030, including financing costs)</w:t>
      </w:r>
      <w:r w:rsidR="00E15FEC" w:rsidRPr="00C40B08">
        <w:rPr>
          <w:sz w:val="24"/>
          <w:szCs w:val="24"/>
        </w:rPr>
        <w:t xml:space="preserve"> have the largest range across the scenarios, from $9.4 billion in the </w:t>
      </w:r>
      <w:r w:rsidR="00EB528E" w:rsidRPr="00C40B08">
        <w:rPr>
          <w:sz w:val="24"/>
          <w:szCs w:val="24"/>
        </w:rPr>
        <w:t>CO</w:t>
      </w:r>
      <w:r w:rsidR="00EB528E" w:rsidRPr="00C40B08">
        <w:rPr>
          <w:sz w:val="24"/>
          <w:szCs w:val="24"/>
          <w:vertAlign w:val="subscript"/>
        </w:rPr>
        <w:t>2</w:t>
      </w:r>
      <w:r w:rsidR="00EB528E" w:rsidRPr="00C40B08">
        <w:rPr>
          <w:sz w:val="24"/>
          <w:szCs w:val="24"/>
        </w:rPr>
        <w:t>-Cap</w:t>
      </w:r>
      <w:r w:rsidR="00E15FEC" w:rsidRPr="00C40B08">
        <w:rPr>
          <w:sz w:val="24"/>
          <w:szCs w:val="24"/>
        </w:rPr>
        <w:t xml:space="preserve">-All+EE case (where fewer capacity additions are needed because demand is reduced) to $15.9 billion in the </w:t>
      </w:r>
      <w:r w:rsidR="00A2216A" w:rsidRPr="00C40B08">
        <w:rPr>
          <w:sz w:val="24"/>
          <w:szCs w:val="24"/>
        </w:rPr>
        <w:t>CO</w:t>
      </w:r>
      <w:r w:rsidR="00A2216A" w:rsidRPr="00C40B08">
        <w:rPr>
          <w:sz w:val="24"/>
          <w:szCs w:val="24"/>
          <w:vertAlign w:val="subscript"/>
        </w:rPr>
        <w:t>2</w:t>
      </w:r>
      <w:r w:rsidR="00A2216A" w:rsidRPr="00C40B08">
        <w:rPr>
          <w:sz w:val="24"/>
          <w:szCs w:val="24"/>
        </w:rPr>
        <w:t>-Cap</w:t>
      </w:r>
      <w:r w:rsidR="00E15FEC" w:rsidRPr="00C40B08">
        <w:rPr>
          <w:sz w:val="24"/>
          <w:szCs w:val="24"/>
        </w:rPr>
        <w:t>-All scenario</w:t>
      </w:r>
      <w:r w:rsidR="002B6650" w:rsidRPr="00C40B08">
        <w:rPr>
          <w:sz w:val="24"/>
          <w:szCs w:val="24"/>
        </w:rPr>
        <w:t>.</w:t>
      </w:r>
      <w:r w:rsidR="00C51ABF" w:rsidRPr="00C40B08">
        <w:rPr>
          <w:sz w:val="24"/>
          <w:szCs w:val="24"/>
        </w:rPr>
        <w:t xml:space="preserve"> </w:t>
      </w:r>
      <w:r w:rsidR="002B6650" w:rsidRPr="00C40B08">
        <w:rPr>
          <w:sz w:val="24"/>
          <w:szCs w:val="24"/>
        </w:rPr>
        <w:t>T</w:t>
      </w:r>
      <w:r w:rsidRPr="00C40B08">
        <w:rPr>
          <w:sz w:val="24"/>
          <w:szCs w:val="24"/>
        </w:rPr>
        <w:t>ransmission costs (t</w:t>
      </w:r>
      <w:r w:rsidR="00D54E66" w:rsidRPr="00C40B08">
        <w:rPr>
          <w:sz w:val="24"/>
          <w:szCs w:val="24"/>
        </w:rPr>
        <w:t>he additional costs to connect</w:t>
      </w:r>
      <w:r w:rsidRPr="00C40B08">
        <w:rPr>
          <w:sz w:val="24"/>
          <w:szCs w:val="24"/>
        </w:rPr>
        <w:t xml:space="preserve"> new plant</w:t>
      </w:r>
      <w:r w:rsidR="00D54E66" w:rsidRPr="00C40B08">
        <w:rPr>
          <w:sz w:val="24"/>
          <w:szCs w:val="24"/>
        </w:rPr>
        <w:t>s</w:t>
      </w:r>
      <w:r w:rsidRPr="00C40B08">
        <w:rPr>
          <w:sz w:val="24"/>
          <w:szCs w:val="24"/>
        </w:rPr>
        <w:t xml:space="preserve"> to the grid),</w:t>
      </w:r>
      <w:r w:rsidR="00D54E66" w:rsidRPr="00C40B08">
        <w:rPr>
          <w:sz w:val="24"/>
          <w:szCs w:val="24"/>
        </w:rPr>
        <w:t xml:space="preserve"> </w:t>
      </w:r>
      <w:r w:rsidR="002B6650" w:rsidRPr="00C40B08">
        <w:rPr>
          <w:sz w:val="24"/>
          <w:szCs w:val="24"/>
        </w:rPr>
        <w:t xml:space="preserve">are lower because </w:t>
      </w:r>
      <w:r w:rsidR="00D54E66" w:rsidRPr="00C40B08">
        <w:rPr>
          <w:sz w:val="24"/>
          <w:szCs w:val="24"/>
        </w:rPr>
        <w:t>fewer transmission expansions are needed when demand is reduced</w:t>
      </w:r>
      <w:r w:rsidR="002B6650" w:rsidRPr="00C40B08">
        <w:rPr>
          <w:sz w:val="24"/>
          <w:szCs w:val="24"/>
        </w:rPr>
        <w:t>.</w:t>
      </w:r>
      <w:r w:rsidR="00C51ABF" w:rsidRPr="00C40B08">
        <w:rPr>
          <w:sz w:val="24"/>
          <w:szCs w:val="24"/>
        </w:rPr>
        <w:t xml:space="preserve"> </w:t>
      </w:r>
      <w:r w:rsidR="002B6650" w:rsidRPr="00C40B08">
        <w:rPr>
          <w:sz w:val="24"/>
          <w:szCs w:val="24"/>
        </w:rPr>
        <w:t>R</w:t>
      </w:r>
      <w:r w:rsidR="00D54E66" w:rsidRPr="00C40B08">
        <w:rPr>
          <w:sz w:val="24"/>
          <w:szCs w:val="24"/>
        </w:rPr>
        <w:t>etrofits of existing capacity</w:t>
      </w:r>
      <w:r w:rsidR="00C51ABF" w:rsidRPr="00C40B08">
        <w:rPr>
          <w:sz w:val="24"/>
          <w:szCs w:val="24"/>
        </w:rPr>
        <w:t xml:space="preserve"> are less cost</w:t>
      </w:r>
      <w:r w:rsidR="002B6650" w:rsidRPr="00C40B08">
        <w:rPr>
          <w:sz w:val="24"/>
          <w:szCs w:val="24"/>
        </w:rPr>
        <w:t>ly</w:t>
      </w:r>
      <w:r w:rsidR="00D54E66" w:rsidRPr="00C40B08">
        <w:rPr>
          <w:sz w:val="24"/>
          <w:szCs w:val="24"/>
        </w:rPr>
        <w:t xml:space="preserve"> since some of that capacity will be re</w:t>
      </w:r>
      <w:r w:rsidR="00F83ECF" w:rsidRPr="00C40B08">
        <w:rPr>
          <w:sz w:val="24"/>
          <w:szCs w:val="24"/>
        </w:rPr>
        <w:t>tired with reduced demand</w:t>
      </w:r>
      <w:r w:rsidR="00C51ABF" w:rsidRPr="00C40B08">
        <w:rPr>
          <w:sz w:val="24"/>
          <w:szCs w:val="24"/>
        </w:rPr>
        <w:t xml:space="preserve">. </w:t>
      </w:r>
      <w:r w:rsidR="002B6650" w:rsidRPr="00C40B08">
        <w:rPr>
          <w:sz w:val="24"/>
          <w:szCs w:val="24"/>
        </w:rPr>
        <w:t>U</w:t>
      </w:r>
      <w:r w:rsidR="00F83ECF" w:rsidRPr="00C40B08">
        <w:rPr>
          <w:sz w:val="24"/>
          <w:szCs w:val="24"/>
        </w:rPr>
        <w:t xml:space="preserve">tility energy-efficiency costs </w:t>
      </w:r>
      <w:r w:rsidR="002B6650" w:rsidRPr="00C40B08">
        <w:rPr>
          <w:sz w:val="24"/>
          <w:szCs w:val="24"/>
        </w:rPr>
        <w:t xml:space="preserve">are lower </w:t>
      </w:r>
      <w:r w:rsidR="00F83ECF" w:rsidRPr="00C40B08">
        <w:rPr>
          <w:sz w:val="24"/>
          <w:szCs w:val="24"/>
        </w:rPr>
        <w:t xml:space="preserve">since demand is reduced </w:t>
      </w:r>
      <w:r w:rsidR="00AE48E9" w:rsidRPr="00C40B08">
        <w:rPr>
          <w:sz w:val="24"/>
          <w:szCs w:val="24"/>
        </w:rPr>
        <w:t xml:space="preserve">in the </w:t>
      </w:r>
      <w:r w:rsidR="00AD2619">
        <w:rPr>
          <w:sz w:val="24"/>
          <w:szCs w:val="24"/>
        </w:rPr>
        <w:t>mitigation</w:t>
      </w:r>
      <w:r w:rsidR="00AE48E9" w:rsidRPr="00C40B08">
        <w:rPr>
          <w:sz w:val="24"/>
          <w:szCs w:val="24"/>
        </w:rPr>
        <w:t xml:space="preserve"> scenarios </w:t>
      </w:r>
      <w:r w:rsidR="00F83ECF" w:rsidRPr="00C40B08">
        <w:rPr>
          <w:sz w:val="24"/>
          <w:szCs w:val="24"/>
        </w:rPr>
        <w:t>principally by programs that are not operated by utilities.</w:t>
      </w:r>
    </w:p>
    <w:p w14:paraId="254D6A68" w14:textId="156A3C57" w:rsidR="008F24CA" w:rsidRPr="00C40B08" w:rsidRDefault="008F24CA" w:rsidP="000656C9">
      <w:pPr>
        <w:pStyle w:val="Footnote"/>
        <w:spacing w:before="100" w:beforeAutospacing="1" w:after="100" w:afterAutospacing="1" w:line="276" w:lineRule="auto"/>
        <w:rPr>
          <w:sz w:val="24"/>
          <w:szCs w:val="24"/>
        </w:rPr>
      </w:pPr>
      <w:r w:rsidRPr="00C40B08">
        <w:rPr>
          <w:sz w:val="24"/>
          <w:szCs w:val="24"/>
        </w:rPr>
        <w:t>In contrast, f</w:t>
      </w:r>
      <w:r w:rsidR="00F83ECF" w:rsidRPr="00C40B08">
        <w:rPr>
          <w:sz w:val="24"/>
          <w:szCs w:val="24"/>
        </w:rPr>
        <w:t>our of the nine types of costs</w:t>
      </w:r>
      <w:r w:rsidRPr="00C40B08">
        <w:rPr>
          <w:sz w:val="24"/>
          <w:szCs w:val="24"/>
        </w:rPr>
        <w:t xml:space="preserve"> are lower </w:t>
      </w:r>
      <w:r w:rsidR="00E15FEC" w:rsidRPr="00C40B08">
        <w:rPr>
          <w:sz w:val="24"/>
          <w:szCs w:val="24"/>
        </w:rPr>
        <w:t>across</w:t>
      </w:r>
      <w:r w:rsidRPr="00C40B08">
        <w:rPr>
          <w:sz w:val="24"/>
          <w:szCs w:val="24"/>
        </w:rPr>
        <w:t xml:space="preserve"> all </w:t>
      </w:r>
      <w:r w:rsidR="00E15FEC" w:rsidRPr="00C40B08">
        <w:rPr>
          <w:sz w:val="24"/>
          <w:szCs w:val="24"/>
        </w:rPr>
        <w:t>of</w:t>
      </w:r>
      <w:r w:rsidRPr="00C40B08">
        <w:rPr>
          <w:sz w:val="24"/>
          <w:szCs w:val="24"/>
        </w:rPr>
        <w:t xml:space="preserve"> </w:t>
      </w:r>
      <w:r w:rsidR="00E15FEC" w:rsidRPr="00C40B08">
        <w:rPr>
          <w:sz w:val="24"/>
          <w:szCs w:val="24"/>
        </w:rPr>
        <w:t xml:space="preserve">the </w:t>
      </w:r>
      <w:r w:rsidR="00AD2619">
        <w:rPr>
          <w:sz w:val="24"/>
          <w:szCs w:val="24"/>
        </w:rPr>
        <w:t>mitigation</w:t>
      </w:r>
      <w:r w:rsidRPr="00C40B08">
        <w:rPr>
          <w:sz w:val="24"/>
          <w:szCs w:val="24"/>
        </w:rPr>
        <w:t xml:space="preserve"> scenarios</w:t>
      </w:r>
      <w:r w:rsidR="0017580D" w:rsidRPr="00C40B08">
        <w:rPr>
          <w:sz w:val="24"/>
          <w:szCs w:val="24"/>
        </w:rPr>
        <w:t xml:space="preserve"> </w:t>
      </w:r>
      <w:r w:rsidRPr="00C40B08">
        <w:rPr>
          <w:sz w:val="24"/>
          <w:szCs w:val="24"/>
        </w:rPr>
        <w:t>compared to the Reference case forecast</w:t>
      </w:r>
      <w:r w:rsidR="00E15FEC" w:rsidRPr="00C40B08">
        <w:rPr>
          <w:sz w:val="24"/>
          <w:szCs w:val="24"/>
        </w:rPr>
        <w:t xml:space="preserve"> for 203</w:t>
      </w:r>
      <w:r w:rsidRPr="00C40B08">
        <w:rPr>
          <w:sz w:val="24"/>
          <w:szCs w:val="24"/>
        </w:rPr>
        <w:t>0</w:t>
      </w:r>
      <w:r w:rsidR="002B6650" w:rsidRPr="00C40B08">
        <w:rPr>
          <w:sz w:val="24"/>
          <w:szCs w:val="24"/>
        </w:rPr>
        <w:t xml:space="preserve">. That is, they are lower in the </w:t>
      </w:r>
      <w:r w:rsidR="00AD2619">
        <w:rPr>
          <w:sz w:val="24"/>
          <w:szCs w:val="24"/>
        </w:rPr>
        <w:t>mitigation</w:t>
      </w:r>
      <w:r w:rsidR="002B6650" w:rsidRPr="00C40B08">
        <w:rPr>
          <w:sz w:val="24"/>
          <w:szCs w:val="24"/>
        </w:rPr>
        <w:t xml:space="preserve"> scenarios with or without strong energy-efficiency policies.</w:t>
      </w:r>
      <w:r w:rsidR="00C51ABF" w:rsidRPr="00C40B08">
        <w:rPr>
          <w:sz w:val="24"/>
          <w:szCs w:val="24"/>
        </w:rPr>
        <w:t xml:space="preserve"> </w:t>
      </w:r>
      <w:r w:rsidR="002B6650" w:rsidRPr="00C40B08">
        <w:rPr>
          <w:sz w:val="24"/>
          <w:szCs w:val="24"/>
        </w:rPr>
        <w:t>C</w:t>
      </w:r>
      <w:r w:rsidRPr="00C40B08">
        <w:rPr>
          <w:sz w:val="24"/>
          <w:szCs w:val="24"/>
        </w:rPr>
        <w:t>apital additions at existing plants (based on an assumed annual $/KW cost</w:t>
      </w:r>
      <w:r w:rsidR="002B6650" w:rsidRPr="00C40B08">
        <w:rPr>
          <w:sz w:val="24"/>
          <w:szCs w:val="24"/>
        </w:rPr>
        <w:t>) are lower because of</w:t>
      </w:r>
      <w:r w:rsidRPr="00C40B08">
        <w:rPr>
          <w:sz w:val="24"/>
          <w:szCs w:val="24"/>
        </w:rPr>
        <w:t xml:space="preserve"> the increased level of plant retirements in the </w:t>
      </w:r>
      <w:r w:rsidR="00AD2619">
        <w:rPr>
          <w:sz w:val="24"/>
          <w:szCs w:val="24"/>
        </w:rPr>
        <w:t>mitigation</w:t>
      </w:r>
      <w:r w:rsidRPr="00C40B08">
        <w:rPr>
          <w:sz w:val="24"/>
          <w:szCs w:val="24"/>
        </w:rPr>
        <w:t xml:space="preserve"> scenarios, particularly when energy-efficiency policies are added</w:t>
      </w:r>
      <w:r w:rsidR="002B6650" w:rsidRPr="00C40B08">
        <w:rPr>
          <w:sz w:val="24"/>
          <w:szCs w:val="24"/>
        </w:rPr>
        <w:t>.</w:t>
      </w:r>
      <w:r w:rsidR="00C51ABF" w:rsidRPr="00C40B08">
        <w:rPr>
          <w:sz w:val="24"/>
          <w:szCs w:val="24"/>
        </w:rPr>
        <w:t xml:space="preserve"> </w:t>
      </w:r>
      <w:r w:rsidR="002B6650" w:rsidRPr="00C40B08">
        <w:rPr>
          <w:sz w:val="24"/>
          <w:szCs w:val="24"/>
        </w:rPr>
        <w:t>F</w:t>
      </w:r>
      <w:r w:rsidR="00AE48E9" w:rsidRPr="00C40B08">
        <w:rPr>
          <w:sz w:val="24"/>
          <w:szCs w:val="24"/>
        </w:rPr>
        <w:t xml:space="preserve">ixed O&amp;M costs, fuel expenses, and </w:t>
      </w:r>
      <w:r w:rsidRPr="00C40B08">
        <w:rPr>
          <w:sz w:val="24"/>
          <w:szCs w:val="24"/>
        </w:rPr>
        <w:t>non-fuel variable O&amp;M costs (annual costs based on</w:t>
      </w:r>
      <w:r w:rsidR="00AE48E9" w:rsidRPr="00C40B08">
        <w:rPr>
          <w:sz w:val="24"/>
          <w:szCs w:val="24"/>
        </w:rPr>
        <w:t xml:space="preserve"> NEMS model dispatch decisions)</w:t>
      </w:r>
      <w:r w:rsidR="002B6650" w:rsidRPr="00C40B08">
        <w:rPr>
          <w:sz w:val="24"/>
          <w:szCs w:val="24"/>
        </w:rPr>
        <w:t xml:space="preserve"> </w:t>
      </w:r>
      <w:r w:rsidR="00AE48E9" w:rsidRPr="00C40B08">
        <w:rPr>
          <w:sz w:val="24"/>
          <w:szCs w:val="24"/>
        </w:rPr>
        <w:t>decline</w:t>
      </w:r>
      <w:r w:rsidRPr="00C40B08">
        <w:rPr>
          <w:sz w:val="24"/>
          <w:szCs w:val="24"/>
        </w:rPr>
        <w:t xml:space="preserve"> </w:t>
      </w:r>
      <w:r w:rsidR="002B6650" w:rsidRPr="00C40B08">
        <w:rPr>
          <w:sz w:val="24"/>
          <w:szCs w:val="24"/>
        </w:rPr>
        <w:t xml:space="preserve">because demand is lower in all four scenarios (with or </w:t>
      </w:r>
      <w:r w:rsidRPr="00C40B08">
        <w:rPr>
          <w:sz w:val="24"/>
          <w:szCs w:val="24"/>
        </w:rPr>
        <w:t>with</w:t>
      </w:r>
      <w:r w:rsidR="002B6650" w:rsidRPr="00C40B08">
        <w:rPr>
          <w:sz w:val="24"/>
          <w:szCs w:val="24"/>
        </w:rPr>
        <w:t>out</w:t>
      </w:r>
      <w:r w:rsidRPr="00C40B08">
        <w:rPr>
          <w:sz w:val="24"/>
          <w:szCs w:val="24"/>
        </w:rPr>
        <w:t xml:space="preserve"> the addition of energy-efficiency policies</w:t>
      </w:r>
      <w:r w:rsidR="002B6650" w:rsidRPr="00C40B08">
        <w:rPr>
          <w:sz w:val="24"/>
          <w:szCs w:val="24"/>
        </w:rPr>
        <w:t>)</w:t>
      </w:r>
      <w:r w:rsidRPr="00C40B08">
        <w:rPr>
          <w:sz w:val="24"/>
          <w:szCs w:val="24"/>
        </w:rPr>
        <w:t>.</w:t>
      </w:r>
      <w:r w:rsidR="0017580D" w:rsidRPr="00C40B08">
        <w:rPr>
          <w:sz w:val="24"/>
          <w:szCs w:val="24"/>
        </w:rPr>
        <w:t xml:space="preserve"> </w:t>
      </w:r>
      <w:r w:rsidR="002B6650" w:rsidRPr="00C40B08">
        <w:rPr>
          <w:sz w:val="24"/>
          <w:szCs w:val="24"/>
        </w:rPr>
        <w:t xml:space="preserve">The </w:t>
      </w:r>
      <w:r w:rsidR="00AD2619">
        <w:rPr>
          <w:sz w:val="24"/>
          <w:szCs w:val="24"/>
        </w:rPr>
        <w:t>scenarios</w:t>
      </w:r>
      <w:r w:rsidR="002B6650" w:rsidRPr="00C40B08">
        <w:rPr>
          <w:sz w:val="24"/>
          <w:szCs w:val="24"/>
        </w:rPr>
        <w:t xml:space="preserve"> without strong energy-efficiency policies have lower demand due to the price elasticity associated with higher energy prices. Fuel</w:t>
      </w:r>
      <w:r w:rsidR="0017580D" w:rsidRPr="00C40B08">
        <w:rPr>
          <w:sz w:val="24"/>
          <w:szCs w:val="24"/>
        </w:rPr>
        <w:t xml:space="preserve"> expenses</w:t>
      </w:r>
      <w:r w:rsidR="00C51ABF" w:rsidRPr="00C40B08">
        <w:rPr>
          <w:sz w:val="24"/>
          <w:szCs w:val="24"/>
        </w:rPr>
        <w:t xml:space="preserve"> have a particularly wide range across the </w:t>
      </w:r>
      <w:r w:rsidR="00AD2619">
        <w:rPr>
          <w:sz w:val="24"/>
          <w:szCs w:val="24"/>
        </w:rPr>
        <w:t>mitigation</w:t>
      </w:r>
      <w:r w:rsidR="00C51ABF" w:rsidRPr="00C40B08">
        <w:rPr>
          <w:sz w:val="24"/>
          <w:szCs w:val="24"/>
        </w:rPr>
        <w:t xml:space="preserve"> scenarios,</w:t>
      </w:r>
      <w:r w:rsidR="0017580D" w:rsidRPr="00C40B08">
        <w:rPr>
          <w:sz w:val="24"/>
          <w:szCs w:val="24"/>
        </w:rPr>
        <w:t xml:space="preserve"> from $36 to $41 billion,</w:t>
      </w:r>
      <w:r w:rsidR="00C51ABF" w:rsidRPr="00C40B08">
        <w:rPr>
          <w:sz w:val="24"/>
          <w:szCs w:val="24"/>
        </w:rPr>
        <w:t xml:space="preserve"> compared with $42 billion in the Reference case forecast.</w:t>
      </w:r>
      <w:r w:rsidR="0017580D" w:rsidRPr="00C40B08">
        <w:rPr>
          <w:sz w:val="24"/>
          <w:szCs w:val="24"/>
        </w:rPr>
        <w:t xml:space="preserve"> </w:t>
      </w:r>
    </w:p>
    <w:p w14:paraId="3EBFFAF9" w14:textId="77777777" w:rsidR="00CA6589" w:rsidRDefault="00CA6589" w:rsidP="000656C9">
      <w:pPr>
        <w:pStyle w:val="TablesandFigures"/>
        <w:spacing w:before="100" w:beforeAutospacing="1" w:after="100" w:afterAutospacing="1" w:line="276" w:lineRule="auto"/>
        <w:jc w:val="center"/>
        <w:rPr>
          <w:rFonts w:ascii="Calibri" w:hAnsi="Calibri"/>
          <w:color w:val="auto"/>
          <w:sz w:val="24"/>
          <w:szCs w:val="24"/>
        </w:rPr>
        <w:sectPr w:rsidR="00CA6589" w:rsidSect="000656C9">
          <w:type w:val="continuous"/>
          <w:pgSz w:w="12240" w:h="15840"/>
          <w:pgMar w:top="1440" w:right="1440" w:bottom="1440" w:left="1440" w:header="720" w:footer="720" w:gutter="0"/>
          <w:pgNumType w:start="1"/>
          <w:cols w:space="720"/>
          <w:docGrid w:linePitch="360"/>
        </w:sectPr>
      </w:pPr>
      <w:bookmarkStart w:id="1" w:name="_Toc446083468"/>
    </w:p>
    <w:p w14:paraId="76252657" w14:textId="01BC77BE" w:rsidR="00D70C2E" w:rsidRDefault="005F4E8C" w:rsidP="000656C9">
      <w:pPr>
        <w:pStyle w:val="TablesandFigures"/>
        <w:spacing w:after="0" w:line="276" w:lineRule="auto"/>
        <w:jc w:val="center"/>
        <w:rPr>
          <w:rFonts w:ascii="Calibri" w:hAnsi="Calibri"/>
          <w:color w:val="auto"/>
          <w:sz w:val="24"/>
          <w:szCs w:val="24"/>
        </w:rPr>
      </w:pPr>
      <w:r w:rsidRPr="00C40B08">
        <w:rPr>
          <w:rFonts w:ascii="Calibri" w:hAnsi="Calibri"/>
          <w:color w:val="auto"/>
          <w:sz w:val="24"/>
          <w:szCs w:val="24"/>
        </w:rPr>
        <w:lastRenderedPageBreak/>
        <w:t>T</w:t>
      </w:r>
      <w:r w:rsidR="00D70C2E" w:rsidRPr="00C40B08">
        <w:rPr>
          <w:rFonts w:ascii="Calibri" w:hAnsi="Calibri"/>
          <w:color w:val="auto"/>
          <w:sz w:val="24"/>
          <w:szCs w:val="24"/>
        </w:rPr>
        <w:t xml:space="preserve">able 2. </w:t>
      </w:r>
      <w:r w:rsidR="00475AC6" w:rsidRPr="00C40B08">
        <w:rPr>
          <w:rFonts w:ascii="Calibri" w:hAnsi="Calibri"/>
          <w:color w:val="auto"/>
          <w:sz w:val="24"/>
          <w:szCs w:val="24"/>
        </w:rPr>
        <w:t xml:space="preserve">Present Value of </w:t>
      </w:r>
      <w:r w:rsidR="00A34648" w:rsidRPr="00C40B08">
        <w:rPr>
          <w:rFonts w:ascii="Calibri" w:hAnsi="Calibri"/>
          <w:color w:val="auto"/>
          <w:sz w:val="24"/>
          <w:szCs w:val="24"/>
        </w:rPr>
        <w:t>Utility Resource</w:t>
      </w:r>
      <w:r w:rsidR="00475AC6" w:rsidRPr="00C40B08">
        <w:rPr>
          <w:rFonts w:ascii="Calibri" w:hAnsi="Calibri"/>
          <w:color w:val="auto"/>
          <w:sz w:val="24"/>
          <w:szCs w:val="24"/>
        </w:rPr>
        <w:t xml:space="preserve"> Costs</w:t>
      </w:r>
      <w:r w:rsidR="00D70C2E" w:rsidRPr="00C40B08">
        <w:rPr>
          <w:rFonts w:ascii="Calibri" w:hAnsi="Calibri"/>
          <w:color w:val="auto"/>
          <w:sz w:val="24"/>
          <w:szCs w:val="24"/>
        </w:rPr>
        <w:t xml:space="preserve"> in 2030 (in </w:t>
      </w:r>
      <w:r w:rsidR="0088618A" w:rsidRPr="00C40B08">
        <w:rPr>
          <w:rFonts w:ascii="Calibri" w:hAnsi="Calibri"/>
          <w:color w:val="auto"/>
          <w:sz w:val="24"/>
          <w:szCs w:val="24"/>
        </w:rPr>
        <w:t>B</w:t>
      </w:r>
      <w:r w:rsidR="008F3CE0" w:rsidRPr="00C40B08">
        <w:rPr>
          <w:rFonts w:ascii="Calibri" w:hAnsi="Calibri"/>
          <w:color w:val="auto"/>
          <w:sz w:val="24"/>
          <w:szCs w:val="24"/>
        </w:rPr>
        <w:t>illions $</w:t>
      </w:r>
      <w:r w:rsidR="00D70C2E" w:rsidRPr="00C40B08">
        <w:rPr>
          <w:rFonts w:ascii="Calibri" w:hAnsi="Calibri"/>
          <w:color w:val="auto"/>
          <w:sz w:val="24"/>
          <w:szCs w:val="24"/>
        </w:rPr>
        <w:t>2013</w:t>
      </w:r>
      <w:proofErr w:type="gramStart"/>
      <w:r w:rsidR="00D70C2E" w:rsidRPr="00C40B08">
        <w:rPr>
          <w:rFonts w:ascii="Calibri" w:hAnsi="Calibri"/>
          <w:color w:val="auto"/>
          <w:sz w:val="24"/>
          <w:szCs w:val="24"/>
        </w:rPr>
        <w:t>)</w:t>
      </w:r>
      <w:bookmarkEnd w:id="1"/>
      <w:r w:rsidR="000978F8" w:rsidRPr="00C40B08">
        <w:rPr>
          <w:rFonts w:ascii="Calibri" w:hAnsi="Calibri"/>
          <w:color w:val="auto"/>
          <w:sz w:val="24"/>
          <w:szCs w:val="24"/>
          <w:vertAlign w:val="superscript"/>
        </w:rPr>
        <w:t>a</w:t>
      </w:r>
      <w:proofErr w:type="gramEnd"/>
    </w:p>
    <w:tbl>
      <w:tblPr>
        <w:tblStyle w:val="GridTable1Light-Accent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6"/>
        <w:gridCol w:w="1172"/>
        <w:gridCol w:w="721"/>
        <w:gridCol w:w="809"/>
        <w:gridCol w:w="899"/>
        <w:gridCol w:w="1081"/>
        <w:gridCol w:w="899"/>
        <w:gridCol w:w="993"/>
        <w:gridCol w:w="990"/>
        <w:gridCol w:w="990"/>
        <w:gridCol w:w="1890"/>
      </w:tblGrid>
      <w:tr w:rsidR="00CA6589" w:rsidRPr="00753072" w14:paraId="0BADC513" w14:textId="77777777" w:rsidTr="00CA6589">
        <w:trPr>
          <w:cnfStyle w:val="100000000000" w:firstRow="1" w:lastRow="0" w:firstColumn="0" w:lastColumn="0" w:oddVBand="0" w:evenVBand="0" w:oddHBand="0" w:evenHBand="0" w:firstRowFirstColumn="0" w:firstRowLastColumn="0" w:lastRowFirstColumn="0" w:lastRowLastColumn="0"/>
          <w:cantSplit/>
          <w:trHeight w:val="1511"/>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bottom w:val="single" w:sz="4" w:space="0" w:color="auto"/>
            </w:tcBorders>
            <w:vAlign w:val="bottom"/>
          </w:tcPr>
          <w:p w14:paraId="032C7128" w14:textId="77777777" w:rsidR="00CA6589" w:rsidRPr="00753072" w:rsidRDefault="00CA6589" w:rsidP="000656C9">
            <w:pPr>
              <w:spacing w:line="276" w:lineRule="auto"/>
              <w:rPr>
                <w:rFonts w:asciiTheme="minorHAnsi" w:eastAsia="Times New Roman" w:hAnsiTheme="minorHAnsi"/>
                <w:b w:val="0"/>
              </w:rPr>
            </w:pPr>
          </w:p>
        </w:tc>
        <w:tc>
          <w:tcPr>
            <w:tcW w:w="452" w:type="pct"/>
            <w:tcBorders>
              <w:top w:val="single" w:sz="4" w:space="0" w:color="auto"/>
              <w:bottom w:val="single" w:sz="4" w:space="0" w:color="auto"/>
            </w:tcBorders>
            <w:noWrap/>
            <w:textDirection w:val="btLr"/>
            <w:vAlign w:val="center"/>
          </w:tcPr>
          <w:p w14:paraId="5AFDC8D2"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Installed capacity</w:t>
            </w:r>
          </w:p>
        </w:tc>
        <w:tc>
          <w:tcPr>
            <w:tcW w:w="278" w:type="pct"/>
            <w:tcBorders>
              <w:top w:val="single" w:sz="4" w:space="0" w:color="auto"/>
              <w:bottom w:val="single" w:sz="4" w:space="0" w:color="auto"/>
            </w:tcBorders>
            <w:noWrap/>
            <w:textDirection w:val="btLr"/>
            <w:vAlign w:val="center"/>
          </w:tcPr>
          <w:p w14:paraId="550E1075"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Transmission</w:t>
            </w:r>
          </w:p>
        </w:tc>
        <w:tc>
          <w:tcPr>
            <w:tcW w:w="312" w:type="pct"/>
            <w:tcBorders>
              <w:top w:val="single" w:sz="4" w:space="0" w:color="auto"/>
              <w:bottom w:val="single" w:sz="4" w:space="0" w:color="auto"/>
            </w:tcBorders>
            <w:noWrap/>
            <w:textDirection w:val="btLr"/>
            <w:vAlign w:val="center"/>
          </w:tcPr>
          <w:p w14:paraId="179A4620"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Retrofits</w:t>
            </w:r>
          </w:p>
        </w:tc>
        <w:tc>
          <w:tcPr>
            <w:tcW w:w="347" w:type="pct"/>
            <w:tcBorders>
              <w:top w:val="single" w:sz="4" w:space="0" w:color="auto"/>
              <w:bottom w:val="single" w:sz="4" w:space="0" w:color="auto"/>
            </w:tcBorders>
            <w:noWrap/>
            <w:textDirection w:val="btLr"/>
            <w:vAlign w:val="center"/>
          </w:tcPr>
          <w:p w14:paraId="14810980"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Fixed O&amp;M Costs</w:t>
            </w:r>
            <w:r w:rsidRPr="00753072">
              <w:rPr>
                <w:rFonts w:asciiTheme="minorHAnsi" w:eastAsia="Times New Roman" w:hAnsiTheme="minorHAnsi"/>
                <w:vertAlign w:val="superscript"/>
              </w:rPr>
              <w:t xml:space="preserve"> </w:t>
            </w:r>
          </w:p>
        </w:tc>
        <w:tc>
          <w:tcPr>
            <w:tcW w:w="417" w:type="pct"/>
            <w:tcBorders>
              <w:top w:val="single" w:sz="4" w:space="0" w:color="auto"/>
              <w:bottom w:val="single" w:sz="4" w:space="0" w:color="auto"/>
            </w:tcBorders>
            <w:textDirection w:val="btLr"/>
            <w:vAlign w:val="center"/>
          </w:tcPr>
          <w:p w14:paraId="35563F1B"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Capital Additions</w:t>
            </w:r>
            <w:r w:rsidRPr="00753072">
              <w:rPr>
                <w:rFonts w:asciiTheme="minorHAnsi" w:eastAsia="Times New Roman" w:hAnsiTheme="minorHAnsi"/>
                <w:vertAlign w:val="superscript"/>
              </w:rPr>
              <w:t xml:space="preserve"> </w:t>
            </w:r>
            <w:r w:rsidRPr="00753072">
              <w:rPr>
                <w:rFonts w:asciiTheme="minorHAnsi" w:eastAsia="Times New Roman" w:hAnsiTheme="minorHAnsi"/>
              </w:rPr>
              <w:t>at Existing Plants</w:t>
            </w:r>
          </w:p>
        </w:tc>
        <w:tc>
          <w:tcPr>
            <w:tcW w:w="347" w:type="pct"/>
            <w:tcBorders>
              <w:top w:val="single" w:sz="4" w:space="0" w:color="auto"/>
              <w:bottom w:val="single" w:sz="4" w:space="0" w:color="auto"/>
            </w:tcBorders>
            <w:textDirection w:val="btLr"/>
            <w:vAlign w:val="center"/>
          </w:tcPr>
          <w:p w14:paraId="48BFACD9"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Non-Fuel Variable O&amp;M</w:t>
            </w:r>
            <w:r w:rsidRPr="00753072">
              <w:rPr>
                <w:rFonts w:asciiTheme="minorHAnsi" w:eastAsia="Times New Roman" w:hAnsiTheme="minorHAnsi"/>
                <w:vertAlign w:val="superscript"/>
              </w:rPr>
              <w:t xml:space="preserve"> </w:t>
            </w:r>
          </w:p>
        </w:tc>
        <w:tc>
          <w:tcPr>
            <w:tcW w:w="383" w:type="pct"/>
            <w:tcBorders>
              <w:top w:val="single" w:sz="4" w:space="0" w:color="auto"/>
              <w:bottom w:val="single" w:sz="4" w:space="0" w:color="auto"/>
            </w:tcBorders>
            <w:textDirection w:val="btLr"/>
            <w:vAlign w:val="center"/>
          </w:tcPr>
          <w:p w14:paraId="7C56E9F4"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Fuel Expenses</w:t>
            </w:r>
            <w:r w:rsidRPr="00753072">
              <w:rPr>
                <w:rFonts w:asciiTheme="minorHAnsi" w:eastAsia="Times New Roman" w:hAnsiTheme="minorHAnsi"/>
                <w:vertAlign w:val="superscript"/>
              </w:rPr>
              <w:t xml:space="preserve"> </w:t>
            </w:r>
          </w:p>
        </w:tc>
        <w:tc>
          <w:tcPr>
            <w:tcW w:w="382" w:type="pct"/>
            <w:tcBorders>
              <w:top w:val="single" w:sz="4" w:space="0" w:color="auto"/>
              <w:bottom w:val="single" w:sz="4" w:space="0" w:color="auto"/>
            </w:tcBorders>
            <w:textDirection w:val="btLr"/>
            <w:vAlign w:val="center"/>
          </w:tcPr>
          <w:p w14:paraId="2D5A2FC6"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val="0"/>
              </w:rPr>
            </w:pPr>
            <w:r w:rsidRPr="00753072">
              <w:rPr>
                <w:rFonts w:asciiTheme="minorHAnsi" w:eastAsia="Times New Roman" w:hAnsiTheme="minorHAnsi"/>
              </w:rPr>
              <w:t>Purchased Power</w:t>
            </w:r>
          </w:p>
        </w:tc>
        <w:tc>
          <w:tcPr>
            <w:tcW w:w="382" w:type="pct"/>
            <w:tcBorders>
              <w:top w:val="single" w:sz="4" w:space="0" w:color="auto"/>
              <w:bottom w:val="single" w:sz="4" w:space="0" w:color="auto"/>
            </w:tcBorders>
            <w:textDirection w:val="btLr"/>
            <w:vAlign w:val="center"/>
          </w:tcPr>
          <w:p w14:paraId="77E79BC3" w14:textId="77777777" w:rsidR="00CA6589" w:rsidRPr="00753072" w:rsidRDefault="00CA6589" w:rsidP="000656C9">
            <w:pPr>
              <w:spacing w:line="276" w:lineRule="auto"/>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val="0"/>
              </w:rPr>
            </w:pPr>
            <w:r w:rsidRPr="00753072">
              <w:rPr>
                <w:rFonts w:asciiTheme="minorHAnsi" w:eastAsia="Times New Roman" w:hAnsiTheme="minorHAnsi"/>
              </w:rPr>
              <w:t>EE Costs</w:t>
            </w:r>
          </w:p>
        </w:tc>
        <w:tc>
          <w:tcPr>
            <w:tcW w:w="729" w:type="pct"/>
            <w:tcBorders>
              <w:top w:val="single" w:sz="4" w:space="0" w:color="auto"/>
              <w:bottom w:val="single" w:sz="4" w:space="0" w:color="auto"/>
            </w:tcBorders>
            <w:vAlign w:val="bottom"/>
          </w:tcPr>
          <w:p w14:paraId="0B4F8A12" w14:textId="77777777" w:rsidR="00CA6589" w:rsidRPr="00753072" w:rsidRDefault="00CA6589" w:rsidP="000656C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rPr>
            </w:pPr>
          </w:p>
          <w:p w14:paraId="05707C54" w14:textId="77777777" w:rsidR="00CA6589" w:rsidRPr="00753072" w:rsidRDefault="00CA6589" w:rsidP="000656C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val="0"/>
              </w:rPr>
            </w:pPr>
            <w:r w:rsidRPr="00753072">
              <w:rPr>
                <w:rFonts w:asciiTheme="minorHAnsi" w:eastAsia="Times New Roman" w:hAnsiTheme="minorHAnsi"/>
              </w:rPr>
              <w:t>Total</w:t>
            </w:r>
          </w:p>
          <w:p w14:paraId="475E674D" w14:textId="77777777" w:rsidR="00CA6589" w:rsidRPr="00753072" w:rsidRDefault="00CA6589" w:rsidP="000656C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Cs w:val="0"/>
              </w:rPr>
            </w:pPr>
            <w:r w:rsidRPr="00753072">
              <w:rPr>
                <w:rFonts w:asciiTheme="minorHAnsi" w:eastAsia="Times New Roman" w:hAnsiTheme="minorHAnsi"/>
              </w:rPr>
              <w:t>(% Change from Reference Case)</w:t>
            </w:r>
          </w:p>
        </w:tc>
      </w:tr>
      <w:tr w:rsidR="00CA6589" w:rsidRPr="00753072" w14:paraId="62D40B4D" w14:textId="77777777" w:rsidTr="00CA6589">
        <w:trPr>
          <w:cantSplit/>
          <w:trHeight w:val="350"/>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bottom w:val="single" w:sz="4" w:space="0" w:color="auto"/>
            </w:tcBorders>
          </w:tcPr>
          <w:p w14:paraId="246E240C" w14:textId="77777777" w:rsidR="00CA6589" w:rsidRPr="00753072" w:rsidRDefault="00CA6589" w:rsidP="000656C9">
            <w:pPr>
              <w:spacing w:line="276" w:lineRule="auto"/>
              <w:rPr>
                <w:rFonts w:asciiTheme="minorHAnsi" w:eastAsia="Times New Roman" w:hAnsiTheme="minorHAnsi"/>
              </w:rPr>
            </w:pPr>
          </w:p>
        </w:tc>
        <w:tc>
          <w:tcPr>
            <w:tcW w:w="4029" w:type="pct"/>
            <w:gridSpan w:val="10"/>
            <w:tcBorders>
              <w:top w:val="single" w:sz="4" w:space="0" w:color="auto"/>
              <w:bottom w:val="single" w:sz="4" w:space="0" w:color="auto"/>
            </w:tcBorders>
            <w:noWrap/>
          </w:tcPr>
          <w:p w14:paraId="3069B867" w14:textId="77777777" w:rsidR="00CA6589" w:rsidRPr="004A55D9"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i/>
              </w:rPr>
            </w:pPr>
            <w:r w:rsidRPr="004A55D9">
              <w:rPr>
                <w:rFonts w:asciiTheme="minorHAnsi" w:eastAsia="Times New Roman" w:hAnsiTheme="minorHAnsi"/>
                <w:b/>
                <w:i/>
              </w:rPr>
              <w:t>Utility Resource Costs</w:t>
            </w:r>
          </w:p>
        </w:tc>
      </w:tr>
      <w:tr w:rsidR="00CA6589" w:rsidRPr="00753072" w14:paraId="09B70F39" w14:textId="77777777" w:rsidTr="00CA6589">
        <w:trPr>
          <w:trHeight w:val="278"/>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tcBorders>
            <w:hideMark/>
          </w:tcPr>
          <w:p w14:paraId="7BC2788A" w14:textId="77777777" w:rsidR="00CA6589" w:rsidRPr="00753072" w:rsidRDefault="00CA6589" w:rsidP="000656C9">
            <w:pPr>
              <w:spacing w:line="276" w:lineRule="auto"/>
              <w:rPr>
                <w:rFonts w:asciiTheme="minorHAnsi" w:eastAsia="Times New Roman" w:hAnsiTheme="minorHAnsi"/>
                <w:bCs w:val="0"/>
              </w:rPr>
            </w:pPr>
            <w:r w:rsidRPr="00753072">
              <w:rPr>
                <w:rFonts w:asciiTheme="minorHAnsi" w:eastAsia="Times New Roman" w:hAnsiTheme="minorHAnsi"/>
              </w:rPr>
              <w:t>Reference Case</w:t>
            </w:r>
          </w:p>
        </w:tc>
        <w:tc>
          <w:tcPr>
            <w:tcW w:w="452" w:type="pct"/>
            <w:tcBorders>
              <w:top w:val="single" w:sz="4" w:space="0" w:color="auto"/>
            </w:tcBorders>
            <w:noWrap/>
            <w:hideMark/>
          </w:tcPr>
          <w:p w14:paraId="6E9731B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11.5</w:t>
            </w:r>
          </w:p>
        </w:tc>
        <w:tc>
          <w:tcPr>
            <w:tcW w:w="278" w:type="pct"/>
            <w:tcBorders>
              <w:top w:val="single" w:sz="4" w:space="0" w:color="auto"/>
            </w:tcBorders>
            <w:noWrap/>
            <w:hideMark/>
          </w:tcPr>
          <w:p w14:paraId="395BA67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0.7</w:t>
            </w:r>
          </w:p>
        </w:tc>
        <w:tc>
          <w:tcPr>
            <w:tcW w:w="312" w:type="pct"/>
            <w:tcBorders>
              <w:top w:val="single" w:sz="4" w:space="0" w:color="auto"/>
            </w:tcBorders>
            <w:noWrap/>
            <w:hideMark/>
          </w:tcPr>
          <w:p w14:paraId="0C0E848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0.9</w:t>
            </w:r>
          </w:p>
        </w:tc>
        <w:tc>
          <w:tcPr>
            <w:tcW w:w="347" w:type="pct"/>
            <w:tcBorders>
              <w:top w:val="single" w:sz="4" w:space="0" w:color="auto"/>
            </w:tcBorders>
            <w:noWrap/>
            <w:hideMark/>
          </w:tcPr>
          <w:p w14:paraId="23FF836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15.7</w:t>
            </w:r>
          </w:p>
        </w:tc>
        <w:tc>
          <w:tcPr>
            <w:tcW w:w="417" w:type="pct"/>
            <w:tcBorders>
              <w:top w:val="single" w:sz="4" w:space="0" w:color="auto"/>
            </w:tcBorders>
            <w:hideMark/>
          </w:tcPr>
          <w:p w14:paraId="1C60645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2.3</w:t>
            </w:r>
          </w:p>
        </w:tc>
        <w:tc>
          <w:tcPr>
            <w:tcW w:w="347" w:type="pct"/>
            <w:tcBorders>
              <w:top w:val="single" w:sz="4" w:space="0" w:color="auto"/>
            </w:tcBorders>
          </w:tcPr>
          <w:p w14:paraId="38F5AB8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3.2</w:t>
            </w:r>
          </w:p>
        </w:tc>
        <w:tc>
          <w:tcPr>
            <w:tcW w:w="383" w:type="pct"/>
            <w:tcBorders>
              <w:top w:val="single" w:sz="4" w:space="0" w:color="auto"/>
            </w:tcBorders>
          </w:tcPr>
          <w:p w14:paraId="43C3338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41.7</w:t>
            </w:r>
          </w:p>
        </w:tc>
        <w:tc>
          <w:tcPr>
            <w:tcW w:w="382" w:type="pct"/>
            <w:tcBorders>
              <w:top w:val="single" w:sz="4" w:space="0" w:color="auto"/>
            </w:tcBorders>
          </w:tcPr>
          <w:p w14:paraId="329CFD8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1.2</w:t>
            </w:r>
          </w:p>
        </w:tc>
        <w:tc>
          <w:tcPr>
            <w:tcW w:w="382" w:type="pct"/>
            <w:tcBorders>
              <w:top w:val="single" w:sz="4" w:space="0" w:color="auto"/>
            </w:tcBorders>
          </w:tcPr>
          <w:p w14:paraId="4BB6764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0.0</w:t>
            </w:r>
          </w:p>
        </w:tc>
        <w:tc>
          <w:tcPr>
            <w:tcW w:w="729" w:type="pct"/>
            <w:tcBorders>
              <w:top w:val="single" w:sz="4" w:space="0" w:color="auto"/>
            </w:tcBorders>
          </w:tcPr>
          <w:p w14:paraId="31E3C2D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77.2</w:t>
            </w:r>
          </w:p>
        </w:tc>
      </w:tr>
      <w:tr w:rsidR="00CA6589" w:rsidRPr="00753072" w14:paraId="052C8928" w14:textId="77777777" w:rsidTr="00CA6589">
        <w:trPr>
          <w:trHeight w:val="288"/>
        </w:trPr>
        <w:tc>
          <w:tcPr>
            <w:cnfStyle w:val="001000000000" w:firstRow="0" w:lastRow="0" w:firstColumn="1" w:lastColumn="0" w:oddVBand="0" w:evenVBand="0" w:oddHBand="0" w:evenHBand="0" w:firstRowFirstColumn="0" w:firstRowLastColumn="0" w:lastRowFirstColumn="0" w:lastRowLastColumn="0"/>
            <w:tcW w:w="971" w:type="pct"/>
            <w:tcBorders>
              <w:bottom w:val="single" w:sz="4" w:space="0" w:color="auto"/>
            </w:tcBorders>
            <w:hideMark/>
          </w:tcPr>
          <w:p w14:paraId="4ECFB202" w14:textId="77777777" w:rsidR="00CA6589" w:rsidRPr="00753072" w:rsidRDefault="00CA6589" w:rsidP="000656C9">
            <w:pPr>
              <w:spacing w:line="276" w:lineRule="auto"/>
              <w:rPr>
                <w:rFonts w:asciiTheme="minorHAnsi" w:eastAsia="Times New Roman" w:hAnsiTheme="minorHAnsi"/>
              </w:rPr>
            </w:pPr>
            <w:proofErr w:type="spellStart"/>
            <w:r w:rsidRPr="00753072">
              <w:rPr>
                <w:rFonts w:asciiTheme="minorHAnsi" w:eastAsia="Times New Roman" w:hAnsiTheme="minorHAnsi"/>
              </w:rPr>
              <w:t>Reference+EE</w:t>
            </w:r>
            <w:proofErr w:type="spellEnd"/>
          </w:p>
        </w:tc>
        <w:tc>
          <w:tcPr>
            <w:tcW w:w="452" w:type="pct"/>
            <w:tcBorders>
              <w:bottom w:val="single" w:sz="4" w:space="0" w:color="auto"/>
            </w:tcBorders>
            <w:noWrap/>
            <w:hideMark/>
          </w:tcPr>
          <w:p w14:paraId="10ECC85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6.9</w:t>
            </w:r>
          </w:p>
        </w:tc>
        <w:tc>
          <w:tcPr>
            <w:tcW w:w="278" w:type="pct"/>
            <w:tcBorders>
              <w:bottom w:val="single" w:sz="4" w:space="0" w:color="auto"/>
            </w:tcBorders>
            <w:noWrap/>
            <w:hideMark/>
          </w:tcPr>
          <w:p w14:paraId="66CDEA9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0.3</w:t>
            </w:r>
          </w:p>
        </w:tc>
        <w:tc>
          <w:tcPr>
            <w:tcW w:w="312" w:type="pct"/>
            <w:tcBorders>
              <w:bottom w:val="single" w:sz="4" w:space="0" w:color="auto"/>
            </w:tcBorders>
            <w:noWrap/>
            <w:hideMark/>
          </w:tcPr>
          <w:p w14:paraId="04ACDBC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0.9</w:t>
            </w:r>
          </w:p>
        </w:tc>
        <w:tc>
          <w:tcPr>
            <w:tcW w:w="347" w:type="pct"/>
            <w:tcBorders>
              <w:bottom w:val="single" w:sz="4" w:space="0" w:color="auto"/>
            </w:tcBorders>
            <w:noWrap/>
            <w:hideMark/>
          </w:tcPr>
          <w:p w14:paraId="7677202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14.8</w:t>
            </w:r>
          </w:p>
        </w:tc>
        <w:tc>
          <w:tcPr>
            <w:tcW w:w="417" w:type="pct"/>
            <w:tcBorders>
              <w:bottom w:val="single" w:sz="4" w:space="0" w:color="auto"/>
            </w:tcBorders>
            <w:hideMark/>
          </w:tcPr>
          <w:p w14:paraId="5318617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2.3</w:t>
            </w:r>
          </w:p>
        </w:tc>
        <w:tc>
          <w:tcPr>
            <w:tcW w:w="347" w:type="pct"/>
            <w:tcBorders>
              <w:bottom w:val="single" w:sz="4" w:space="0" w:color="auto"/>
            </w:tcBorders>
          </w:tcPr>
          <w:p w14:paraId="6960C79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2.9</w:t>
            </w:r>
          </w:p>
        </w:tc>
        <w:tc>
          <w:tcPr>
            <w:tcW w:w="383" w:type="pct"/>
            <w:tcBorders>
              <w:bottom w:val="single" w:sz="4" w:space="0" w:color="auto"/>
            </w:tcBorders>
          </w:tcPr>
          <w:p w14:paraId="40D6854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38.6</w:t>
            </w:r>
          </w:p>
        </w:tc>
        <w:tc>
          <w:tcPr>
            <w:tcW w:w="382" w:type="pct"/>
            <w:tcBorders>
              <w:bottom w:val="single" w:sz="4" w:space="0" w:color="auto"/>
            </w:tcBorders>
          </w:tcPr>
          <w:p w14:paraId="00C424A7"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1.2</w:t>
            </w:r>
          </w:p>
        </w:tc>
        <w:tc>
          <w:tcPr>
            <w:tcW w:w="382" w:type="pct"/>
            <w:tcBorders>
              <w:bottom w:val="single" w:sz="4" w:space="0" w:color="auto"/>
            </w:tcBorders>
          </w:tcPr>
          <w:p w14:paraId="7FBEDA0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0.0</w:t>
            </w:r>
          </w:p>
        </w:tc>
        <w:tc>
          <w:tcPr>
            <w:tcW w:w="729" w:type="pct"/>
            <w:tcBorders>
              <w:bottom w:val="single" w:sz="4" w:space="0" w:color="auto"/>
            </w:tcBorders>
          </w:tcPr>
          <w:p w14:paraId="57C03E8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67.9 (-12.0%)</w:t>
            </w:r>
          </w:p>
        </w:tc>
      </w:tr>
      <w:tr w:rsidR="00CA6589" w:rsidRPr="00753072" w14:paraId="0F05F8EE" w14:textId="77777777" w:rsidTr="00CA6589">
        <w:trPr>
          <w:trHeight w:val="320"/>
        </w:trPr>
        <w:tc>
          <w:tcPr>
            <w:cnfStyle w:val="001000000000" w:firstRow="0" w:lastRow="0" w:firstColumn="1" w:lastColumn="0" w:oddVBand="0" w:evenVBand="0" w:oddHBand="0" w:evenHBand="0" w:firstRowFirstColumn="0" w:firstRowLastColumn="0" w:lastRowFirstColumn="0" w:lastRowLastColumn="0"/>
            <w:tcW w:w="1423" w:type="pct"/>
            <w:gridSpan w:val="2"/>
            <w:tcBorders>
              <w:top w:val="single" w:sz="4" w:space="0" w:color="auto"/>
              <w:bottom w:val="single" w:sz="4" w:space="0" w:color="auto"/>
            </w:tcBorders>
          </w:tcPr>
          <w:p w14:paraId="18968685"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Mitigation</w:t>
            </w:r>
            <w:r w:rsidRPr="00753072">
              <w:rPr>
                <w:rFonts w:asciiTheme="minorHAnsi" w:eastAsia="Times New Roman" w:hAnsiTheme="minorHAnsi"/>
              </w:rPr>
              <w:t xml:space="preserve"> Scenarios:</w:t>
            </w:r>
          </w:p>
        </w:tc>
        <w:tc>
          <w:tcPr>
            <w:tcW w:w="278" w:type="pct"/>
            <w:tcBorders>
              <w:top w:val="single" w:sz="4" w:space="0" w:color="auto"/>
              <w:bottom w:val="single" w:sz="4" w:space="0" w:color="auto"/>
            </w:tcBorders>
            <w:noWrap/>
          </w:tcPr>
          <w:p w14:paraId="61B35EA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12" w:type="pct"/>
            <w:tcBorders>
              <w:top w:val="single" w:sz="4" w:space="0" w:color="auto"/>
              <w:bottom w:val="single" w:sz="4" w:space="0" w:color="auto"/>
            </w:tcBorders>
            <w:noWrap/>
          </w:tcPr>
          <w:p w14:paraId="394216D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47" w:type="pct"/>
            <w:tcBorders>
              <w:top w:val="single" w:sz="4" w:space="0" w:color="auto"/>
              <w:bottom w:val="single" w:sz="4" w:space="0" w:color="auto"/>
            </w:tcBorders>
            <w:noWrap/>
          </w:tcPr>
          <w:p w14:paraId="3771F89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417" w:type="pct"/>
            <w:tcBorders>
              <w:top w:val="single" w:sz="4" w:space="0" w:color="auto"/>
              <w:bottom w:val="single" w:sz="4" w:space="0" w:color="auto"/>
            </w:tcBorders>
          </w:tcPr>
          <w:p w14:paraId="2A5B6AB7"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47" w:type="pct"/>
            <w:tcBorders>
              <w:top w:val="single" w:sz="4" w:space="0" w:color="auto"/>
              <w:bottom w:val="single" w:sz="4" w:space="0" w:color="auto"/>
            </w:tcBorders>
          </w:tcPr>
          <w:p w14:paraId="1019B37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83" w:type="pct"/>
            <w:tcBorders>
              <w:top w:val="single" w:sz="4" w:space="0" w:color="auto"/>
              <w:bottom w:val="single" w:sz="4" w:space="0" w:color="auto"/>
            </w:tcBorders>
          </w:tcPr>
          <w:p w14:paraId="4507A76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82" w:type="pct"/>
            <w:tcBorders>
              <w:top w:val="single" w:sz="4" w:space="0" w:color="auto"/>
              <w:bottom w:val="single" w:sz="4" w:space="0" w:color="auto"/>
            </w:tcBorders>
          </w:tcPr>
          <w:p w14:paraId="51AE61A7"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382" w:type="pct"/>
            <w:tcBorders>
              <w:top w:val="single" w:sz="4" w:space="0" w:color="auto"/>
              <w:bottom w:val="single" w:sz="4" w:space="0" w:color="auto"/>
            </w:tcBorders>
          </w:tcPr>
          <w:p w14:paraId="29E51CD6"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c>
          <w:tcPr>
            <w:tcW w:w="729" w:type="pct"/>
            <w:tcBorders>
              <w:top w:val="single" w:sz="4" w:space="0" w:color="auto"/>
              <w:bottom w:val="single" w:sz="4" w:space="0" w:color="auto"/>
            </w:tcBorders>
          </w:tcPr>
          <w:p w14:paraId="558FF71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p>
        </w:tc>
      </w:tr>
      <w:tr w:rsidR="00CA6589" w:rsidRPr="00753072" w14:paraId="53E4BCD2" w14:textId="77777777" w:rsidTr="00CA6589">
        <w:trPr>
          <w:trHeight w:val="320"/>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tcBorders>
            <w:hideMark/>
          </w:tcPr>
          <w:p w14:paraId="732B8D50"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w:t>
            </w:r>
          </w:p>
        </w:tc>
        <w:tc>
          <w:tcPr>
            <w:tcW w:w="452" w:type="pct"/>
            <w:tcBorders>
              <w:top w:val="single" w:sz="4" w:space="0" w:color="auto"/>
            </w:tcBorders>
            <w:noWrap/>
            <w:hideMark/>
          </w:tcPr>
          <w:p w14:paraId="68D9218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14.0</w:t>
            </w:r>
          </w:p>
        </w:tc>
        <w:tc>
          <w:tcPr>
            <w:tcW w:w="278" w:type="pct"/>
            <w:tcBorders>
              <w:top w:val="single" w:sz="4" w:space="0" w:color="auto"/>
            </w:tcBorders>
            <w:noWrap/>
            <w:hideMark/>
          </w:tcPr>
          <w:p w14:paraId="6CE7645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0.8</w:t>
            </w:r>
          </w:p>
        </w:tc>
        <w:tc>
          <w:tcPr>
            <w:tcW w:w="312" w:type="pct"/>
            <w:tcBorders>
              <w:top w:val="single" w:sz="4" w:space="0" w:color="auto"/>
            </w:tcBorders>
            <w:noWrap/>
            <w:hideMark/>
          </w:tcPr>
          <w:p w14:paraId="0401884C"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1.0</w:t>
            </w:r>
          </w:p>
        </w:tc>
        <w:tc>
          <w:tcPr>
            <w:tcW w:w="347" w:type="pct"/>
            <w:tcBorders>
              <w:top w:val="single" w:sz="4" w:space="0" w:color="auto"/>
            </w:tcBorders>
            <w:noWrap/>
            <w:hideMark/>
          </w:tcPr>
          <w:p w14:paraId="49D676B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15.4</w:t>
            </w:r>
          </w:p>
        </w:tc>
        <w:tc>
          <w:tcPr>
            <w:tcW w:w="417" w:type="pct"/>
            <w:tcBorders>
              <w:top w:val="single" w:sz="4" w:space="0" w:color="auto"/>
            </w:tcBorders>
            <w:hideMark/>
          </w:tcPr>
          <w:p w14:paraId="43944F26"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2.0</w:t>
            </w:r>
          </w:p>
        </w:tc>
        <w:tc>
          <w:tcPr>
            <w:tcW w:w="347" w:type="pct"/>
            <w:tcBorders>
              <w:top w:val="single" w:sz="4" w:space="0" w:color="auto"/>
            </w:tcBorders>
          </w:tcPr>
          <w:p w14:paraId="2BAD3F6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2.9</w:t>
            </w:r>
          </w:p>
        </w:tc>
        <w:tc>
          <w:tcPr>
            <w:tcW w:w="383" w:type="pct"/>
            <w:tcBorders>
              <w:top w:val="single" w:sz="4" w:space="0" w:color="auto"/>
            </w:tcBorders>
          </w:tcPr>
          <w:p w14:paraId="3065D05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41.4</w:t>
            </w:r>
          </w:p>
        </w:tc>
        <w:tc>
          <w:tcPr>
            <w:tcW w:w="382" w:type="pct"/>
            <w:tcBorders>
              <w:top w:val="single" w:sz="4" w:space="0" w:color="auto"/>
            </w:tcBorders>
          </w:tcPr>
          <w:p w14:paraId="4CF5B05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1.4</w:t>
            </w:r>
          </w:p>
        </w:tc>
        <w:tc>
          <w:tcPr>
            <w:tcW w:w="382" w:type="pct"/>
            <w:tcBorders>
              <w:top w:val="single" w:sz="4" w:space="0" w:color="auto"/>
            </w:tcBorders>
          </w:tcPr>
          <w:p w14:paraId="087A7ED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2.4</w:t>
            </w:r>
          </w:p>
        </w:tc>
        <w:tc>
          <w:tcPr>
            <w:tcW w:w="729" w:type="pct"/>
            <w:tcBorders>
              <w:top w:val="single" w:sz="4" w:space="0" w:color="auto"/>
            </w:tcBorders>
          </w:tcPr>
          <w:p w14:paraId="5E61401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81.3 (5.3%)</w:t>
            </w:r>
          </w:p>
        </w:tc>
      </w:tr>
      <w:tr w:rsidR="00CA6589" w:rsidRPr="00753072" w14:paraId="3B755643" w14:textId="77777777" w:rsidTr="00CA6589">
        <w:trPr>
          <w:trHeight w:val="315"/>
        </w:trPr>
        <w:tc>
          <w:tcPr>
            <w:cnfStyle w:val="001000000000" w:firstRow="0" w:lastRow="0" w:firstColumn="1" w:lastColumn="0" w:oddVBand="0" w:evenVBand="0" w:oddHBand="0" w:evenHBand="0" w:firstRowFirstColumn="0" w:firstRowLastColumn="0" w:lastRowFirstColumn="0" w:lastRowLastColumn="0"/>
            <w:tcW w:w="971" w:type="pct"/>
            <w:hideMark/>
          </w:tcPr>
          <w:p w14:paraId="092CB7E8"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-CAP_Existing+EE</w:t>
            </w:r>
          </w:p>
        </w:tc>
        <w:tc>
          <w:tcPr>
            <w:tcW w:w="452" w:type="pct"/>
            <w:noWrap/>
            <w:hideMark/>
          </w:tcPr>
          <w:p w14:paraId="1397FD2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9.4</w:t>
            </w:r>
          </w:p>
        </w:tc>
        <w:tc>
          <w:tcPr>
            <w:tcW w:w="278" w:type="pct"/>
            <w:noWrap/>
            <w:hideMark/>
          </w:tcPr>
          <w:p w14:paraId="48D85C2C"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0.5</w:t>
            </w:r>
          </w:p>
        </w:tc>
        <w:tc>
          <w:tcPr>
            <w:tcW w:w="312" w:type="pct"/>
            <w:noWrap/>
            <w:hideMark/>
          </w:tcPr>
          <w:p w14:paraId="2F54DFF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0.8</w:t>
            </w:r>
          </w:p>
        </w:tc>
        <w:tc>
          <w:tcPr>
            <w:tcW w:w="347" w:type="pct"/>
            <w:noWrap/>
            <w:hideMark/>
          </w:tcPr>
          <w:p w14:paraId="6622159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14.3</w:t>
            </w:r>
          </w:p>
        </w:tc>
        <w:tc>
          <w:tcPr>
            <w:tcW w:w="417" w:type="pct"/>
            <w:hideMark/>
          </w:tcPr>
          <w:p w14:paraId="44A27D5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2.0</w:t>
            </w:r>
          </w:p>
        </w:tc>
        <w:tc>
          <w:tcPr>
            <w:tcW w:w="347" w:type="pct"/>
          </w:tcPr>
          <w:p w14:paraId="28B07E9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2.6</w:t>
            </w:r>
          </w:p>
        </w:tc>
        <w:tc>
          <w:tcPr>
            <w:tcW w:w="383" w:type="pct"/>
          </w:tcPr>
          <w:p w14:paraId="15F5B2A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36.6</w:t>
            </w:r>
          </w:p>
        </w:tc>
        <w:tc>
          <w:tcPr>
            <w:tcW w:w="382" w:type="pct"/>
          </w:tcPr>
          <w:p w14:paraId="0DD3D9A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1.3</w:t>
            </w:r>
          </w:p>
        </w:tc>
        <w:tc>
          <w:tcPr>
            <w:tcW w:w="382" w:type="pct"/>
          </w:tcPr>
          <w:p w14:paraId="1350E65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0.0</w:t>
            </w:r>
          </w:p>
        </w:tc>
        <w:tc>
          <w:tcPr>
            <w:tcW w:w="729" w:type="pct"/>
          </w:tcPr>
          <w:p w14:paraId="21A1137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67.5 (-12.5%)</w:t>
            </w:r>
          </w:p>
        </w:tc>
      </w:tr>
      <w:tr w:rsidR="00CA6589" w:rsidRPr="00753072" w14:paraId="6FDA381D" w14:textId="77777777" w:rsidTr="00CA6589">
        <w:trPr>
          <w:trHeight w:val="350"/>
        </w:trPr>
        <w:tc>
          <w:tcPr>
            <w:cnfStyle w:val="001000000000" w:firstRow="0" w:lastRow="0" w:firstColumn="1" w:lastColumn="0" w:oddVBand="0" w:evenVBand="0" w:oddHBand="0" w:evenHBand="0" w:firstRowFirstColumn="0" w:firstRowLastColumn="0" w:lastRowFirstColumn="0" w:lastRowLastColumn="0"/>
            <w:tcW w:w="971" w:type="pct"/>
            <w:hideMark/>
          </w:tcPr>
          <w:p w14:paraId="1F7B167E"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eastAsia="Times New Roman" w:hAnsiTheme="minorHAnsi"/>
              </w:rPr>
              <w:t>_All</w:t>
            </w:r>
          </w:p>
        </w:tc>
        <w:tc>
          <w:tcPr>
            <w:tcW w:w="452" w:type="pct"/>
            <w:noWrap/>
            <w:hideMark/>
          </w:tcPr>
          <w:p w14:paraId="501AA48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15.9</w:t>
            </w:r>
          </w:p>
        </w:tc>
        <w:tc>
          <w:tcPr>
            <w:tcW w:w="278" w:type="pct"/>
            <w:noWrap/>
            <w:hideMark/>
          </w:tcPr>
          <w:p w14:paraId="2927D20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0.8</w:t>
            </w:r>
          </w:p>
        </w:tc>
        <w:tc>
          <w:tcPr>
            <w:tcW w:w="312" w:type="pct"/>
            <w:noWrap/>
            <w:hideMark/>
          </w:tcPr>
          <w:p w14:paraId="77B1F6D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1.0</w:t>
            </w:r>
          </w:p>
        </w:tc>
        <w:tc>
          <w:tcPr>
            <w:tcW w:w="347" w:type="pct"/>
            <w:noWrap/>
            <w:hideMark/>
          </w:tcPr>
          <w:p w14:paraId="01587AB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15.8</w:t>
            </w:r>
          </w:p>
        </w:tc>
        <w:tc>
          <w:tcPr>
            <w:tcW w:w="417" w:type="pct"/>
            <w:hideMark/>
          </w:tcPr>
          <w:p w14:paraId="3A679C4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2.0</w:t>
            </w:r>
          </w:p>
        </w:tc>
        <w:tc>
          <w:tcPr>
            <w:tcW w:w="347" w:type="pct"/>
          </w:tcPr>
          <w:p w14:paraId="33E2868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2.7</w:t>
            </w:r>
          </w:p>
        </w:tc>
        <w:tc>
          <w:tcPr>
            <w:tcW w:w="383" w:type="pct"/>
          </w:tcPr>
          <w:p w14:paraId="144F428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40.4</w:t>
            </w:r>
          </w:p>
        </w:tc>
        <w:tc>
          <w:tcPr>
            <w:tcW w:w="382" w:type="pct"/>
          </w:tcPr>
          <w:p w14:paraId="3FB8274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1.6</w:t>
            </w:r>
          </w:p>
        </w:tc>
        <w:tc>
          <w:tcPr>
            <w:tcW w:w="382" w:type="pct"/>
          </w:tcPr>
          <w:p w14:paraId="16C8DB9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2.4</w:t>
            </w:r>
          </w:p>
        </w:tc>
        <w:tc>
          <w:tcPr>
            <w:tcW w:w="729" w:type="pct"/>
          </w:tcPr>
          <w:p w14:paraId="329DEEA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82.6 (6.9%)</w:t>
            </w:r>
          </w:p>
        </w:tc>
      </w:tr>
      <w:tr w:rsidR="00CA6589" w:rsidRPr="00753072" w14:paraId="33B8223F"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Borders>
              <w:bottom w:val="single" w:sz="4" w:space="0" w:color="auto"/>
            </w:tcBorders>
            <w:hideMark/>
          </w:tcPr>
          <w:p w14:paraId="21A7A580" w14:textId="77777777" w:rsidR="00CA6589" w:rsidRPr="00753072"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eastAsia="Times New Roman" w:hAnsiTheme="minorHAnsi"/>
              </w:rPr>
              <w:t>_All+EE</w:t>
            </w:r>
          </w:p>
        </w:tc>
        <w:tc>
          <w:tcPr>
            <w:tcW w:w="452" w:type="pct"/>
            <w:tcBorders>
              <w:bottom w:val="single" w:sz="4" w:space="0" w:color="auto"/>
            </w:tcBorders>
            <w:noWrap/>
            <w:hideMark/>
          </w:tcPr>
          <w:p w14:paraId="3784E7C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9.4</w:t>
            </w:r>
          </w:p>
        </w:tc>
        <w:tc>
          <w:tcPr>
            <w:tcW w:w="278" w:type="pct"/>
            <w:tcBorders>
              <w:bottom w:val="single" w:sz="4" w:space="0" w:color="auto"/>
            </w:tcBorders>
            <w:noWrap/>
            <w:hideMark/>
          </w:tcPr>
          <w:p w14:paraId="00BDAE8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0.5</w:t>
            </w:r>
          </w:p>
        </w:tc>
        <w:tc>
          <w:tcPr>
            <w:tcW w:w="312" w:type="pct"/>
            <w:tcBorders>
              <w:bottom w:val="single" w:sz="4" w:space="0" w:color="auto"/>
            </w:tcBorders>
            <w:noWrap/>
            <w:hideMark/>
          </w:tcPr>
          <w:p w14:paraId="07DDC2C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0.9</w:t>
            </w:r>
          </w:p>
        </w:tc>
        <w:tc>
          <w:tcPr>
            <w:tcW w:w="347" w:type="pct"/>
            <w:tcBorders>
              <w:bottom w:val="single" w:sz="4" w:space="0" w:color="auto"/>
            </w:tcBorders>
            <w:noWrap/>
            <w:hideMark/>
          </w:tcPr>
          <w:p w14:paraId="6185C2D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14.6</w:t>
            </w:r>
          </w:p>
        </w:tc>
        <w:tc>
          <w:tcPr>
            <w:tcW w:w="417" w:type="pct"/>
            <w:tcBorders>
              <w:bottom w:val="single" w:sz="4" w:space="0" w:color="auto"/>
            </w:tcBorders>
            <w:hideMark/>
          </w:tcPr>
          <w:p w14:paraId="63910EE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2.0</w:t>
            </w:r>
          </w:p>
        </w:tc>
        <w:tc>
          <w:tcPr>
            <w:tcW w:w="347" w:type="pct"/>
            <w:tcBorders>
              <w:bottom w:val="single" w:sz="4" w:space="0" w:color="auto"/>
            </w:tcBorders>
          </w:tcPr>
          <w:p w14:paraId="4EF4C2A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2.4</w:t>
            </w:r>
          </w:p>
        </w:tc>
        <w:tc>
          <w:tcPr>
            <w:tcW w:w="383" w:type="pct"/>
            <w:tcBorders>
              <w:bottom w:val="single" w:sz="4" w:space="0" w:color="auto"/>
            </w:tcBorders>
          </w:tcPr>
          <w:p w14:paraId="1EDB5BC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36.3</w:t>
            </w:r>
          </w:p>
        </w:tc>
        <w:tc>
          <w:tcPr>
            <w:tcW w:w="382" w:type="pct"/>
            <w:tcBorders>
              <w:bottom w:val="single" w:sz="4" w:space="0" w:color="auto"/>
            </w:tcBorders>
          </w:tcPr>
          <w:p w14:paraId="605BB69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1.5</w:t>
            </w:r>
          </w:p>
        </w:tc>
        <w:tc>
          <w:tcPr>
            <w:tcW w:w="382" w:type="pct"/>
            <w:tcBorders>
              <w:bottom w:val="single" w:sz="4" w:space="0" w:color="auto"/>
            </w:tcBorders>
          </w:tcPr>
          <w:p w14:paraId="39793AB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0</w:t>
            </w:r>
          </w:p>
        </w:tc>
        <w:tc>
          <w:tcPr>
            <w:tcW w:w="729" w:type="pct"/>
            <w:tcBorders>
              <w:bottom w:val="single" w:sz="4" w:space="0" w:color="auto"/>
            </w:tcBorders>
          </w:tcPr>
          <w:p w14:paraId="7ACD5EB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rPr>
              <w:t xml:space="preserve"> 67.6 (-12.5%)</w:t>
            </w:r>
          </w:p>
        </w:tc>
      </w:tr>
      <w:tr w:rsidR="00CA6589" w:rsidRPr="00753072" w14:paraId="7B077F68"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bottom w:val="single" w:sz="4" w:space="0" w:color="auto"/>
            </w:tcBorders>
          </w:tcPr>
          <w:p w14:paraId="3A069D89" w14:textId="77777777" w:rsidR="00CA6589" w:rsidRDefault="00CA6589" w:rsidP="000656C9">
            <w:pPr>
              <w:spacing w:line="276" w:lineRule="auto"/>
              <w:rPr>
                <w:rFonts w:asciiTheme="minorHAnsi" w:eastAsia="Times New Roman" w:hAnsiTheme="minorHAnsi"/>
              </w:rPr>
            </w:pPr>
          </w:p>
        </w:tc>
        <w:tc>
          <w:tcPr>
            <w:tcW w:w="4029" w:type="pct"/>
            <w:gridSpan w:val="10"/>
            <w:tcBorders>
              <w:top w:val="single" w:sz="4" w:space="0" w:color="auto"/>
              <w:bottom w:val="single" w:sz="4" w:space="0" w:color="auto"/>
            </w:tcBorders>
            <w:noWrap/>
          </w:tcPr>
          <w:p w14:paraId="2AD651A9" w14:textId="77777777" w:rsidR="00CA6589" w:rsidRPr="00753072" w:rsidRDefault="00CA6589" w:rsidP="000656C9">
            <w:pPr>
              <w:pStyle w:val="TablesandFigures"/>
              <w:spacing w:after="0" w:line="276" w:lineRule="auto"/>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753072">
              <w:rPr>
                <w:rFonts w:eastAsia="Times New Roman"/>
                <w:color w:val="000000" w:themeColor="text1"/>
                <w:sz w:val="24"/>
                <w:szCs w:val="24"/>
              </w:rPr>
              <w:t xml:space="preserve">Utility Resource </w:t>
            </w:r>
            <w:r>
              <w:rPr>
                <w:rFonts w:eastAsia="Times New Roman"/>
                <w:color w:val="000000" w:themeColor="text1"/>
                <w:sz w:val="24"/>
                <w:szCs w:val="24"/>
              </w:rPr>
              <w:t>Mitigation</w:t>
            </w:r>
            <w:r w:rsidRPr="00753072">
              <w:rPr>
                <w:rFonts w:eastAsia="Times New Roman"/>
                <w:color w:val="000000" w:themeColor="text1"/>
                <w:sz w:val="24"/>
                <w:szCs w:val="24"/>
              </w:rPr>
              <w:t xml:space="preserve"> Costs</w:t>
            </w:r>
          </w:p>
        </w:tc>
      </w:tr>
      <w:tr w:rsidR="00CA6589" w:rsidRPr="00753072" w14:paraId="3B7BF346"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Borders>
              <w:top w:val="single" w:sz="4" w:space="0" w:color="auto"/>
            </w:tcBorders>
          </w:tcPr>
          <w:p w14:paraId="69AFAFC4" w14:textId="77777777" w:rsidR="00CA6589"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w:t>
            </w:r>
          </w:p>
        </w:tc>
        <w:tc>
          <w:tcPr>
            <w:tcW w:w="452" w:type="pct"/>
            <w:tcBorders>
              <w:top w:val="single" w:sz="4" w:space="0" w:color="auto"/>
            </w:tcBorders>
            <w:noWrap/>
            <w:vAlign w:val="center"/>
          </w:tcPr>
          <w:p w14:paraId="13F6DD2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2.5</w:t>
            </w:r>
          </w:p>
        </w:tc>
        <w:tc>
          <w:tcPr>
            <w:tcW w:w="278" w:type="pct"/>
            <w:tcBorders>
              <w:top w:val="single" w:sz="4" w:space="0" w:color="auto"/>
            </w:tcBorders>
            <w:noWrap/>
            <w:vAlign w:val="center"/>
          </w:tcPr>
          <w:p w14:paraId="008DF63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12" w:type="pct"/>
            <w:tcBorders>
              <w:top w:val="single" w:sz="4" w:space="0" w:color="auto"/>
            </w:tcBorders>
            <w:noWrap/>
            <w:vAlign w:val="center"/>
          </w:tcPr>
          <w:p w14:paraId="612A2F9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47" w:type="pct"/>
            <w:tcBorders>
              <w:top w:val="single" w:sz="4" w:space="0" w:color="auto"/>
            </w:tcBorders>
            <w:noWrap/>
            <w:vAlign w:val="center"/>
          </w:tcPr>
          <w:p w14:paraId="2A703E0C"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417" w:type="pct"/>
            <w:tcBorders>
              <w:top w:val="single" w:sz="4" w:space="0" w:color="auto"/>
            </w:tcBorders>
            <w:vAlign w:val="center"/>
          </w:tcPr>
          <w:p w14:paraId="2F092C46"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47" w:type="pct"/>
            <w:tcBorders>
              <w:top w:val="single" w:sz="4" w:space="0" w:color="auto"/>
            </w:tcBorders>
            <w:vAlign w:val="center"/>
          </w:tcPr>
          <w:p w14:paraId="0DF4521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83" w:type="pct"/>
            <w:tcBorders>
              <w:top w:val="single" w:sz="4" w:space="0" w:color="auto"/>
            </w:tcBorders>
            <w:vAlign w:val="center"/>
          </w:tcPr>
          <w:p w14:paraId="70FD51C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82" w:type="pct"/>
            <w:tcBorders>
              <w:top w:val="single" w:sz="4" w:space="0" w:color="auto"/>
            </w:tcBorders>
            <w:vAlign w:val="center"/>
          </w:tcPr>
          <w:p w14:paraId="413840C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0.2</w:t>
            </w:r>
          </w:p>
        </w:tc>
        <w:tc>
          <w:tcPr>
            <w:tcW w:w="382" w:type="pct"/>
            <w:tcBorders>
              <w:top w:val="single" w:sz="4" w:space="0" w:color="auto"/>
            </w:tcBorders>
            <w:vAlign w:val="center"/>
          </w:tcPr>
          <w:p w14:paraId="261AC0C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2.4</w:t>
            </w:r>
          </w:p>
        </w:tc>
        <w:tc>
          <w:tcPr>
            <w:tcW w:w="729" w:type="pct"/>
            <w:tcBorders>
              <w:top w:val="single" w:sz="4" w:space="0" w:color="auto"/>
            </w:tcBorders>
            <w:vAlign w:val="center"/>
          </w:tcPr>
          <w:p w14:paraId="6B6276F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 xml:space="preserve">4.1 </w:t>
            </w:r>
          </w:p>
        </w:tc>
      </w:tr>
      <w:tr w:rsidR="00CA6589" w:rsidRPr="00753072" w14:paraId="6DF6A108"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Pr>
          <w:p w14:paraId="1D3087CB" w14:textId="77777777" w:rsidR="00CA6589"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-CAP_Existing+EE</w:t>
            </w:r>
          </w:p>
        </w:tc>
        <w:tc>
          <w:tcPr>
            <w:tcW w:w="452" w:type="pct"/>
            <w:noWrap/>
            <w:vAlign w:val="center"/>
          </w:tcPr>
          <w:p w14:paraId="69D6358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-2.1</w:t>
            </w:r>
          </w:p>
        </w:tc>
        <w:tc>
          <w:tcPr>
            <w:tcW w:w="278" w:type="pct"/>
            <w:noWrap/>
            <w:vAlign w:val="center"/>
          </w:tcPr>
          <w:p w14:paraId="59D0AAD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-0.2</w:t>
            </w:r>
          </w:p>
        </w:tc>
        <w:tc>
          <w:tcPr>
            <w:tcW w:w="312" w:type="pct"/>
            <w:noWrap/>
            <w:vAlign w:val="center"/>
          </w:tcPr>
          <w:p w14:paraId="35373E1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47" w:type="pct"/>
            <w:noWrap/>
            <w:vAlign w:val="center"/>
          </w:tcPr>
          <w:p w14:paraId="2356E55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-1.4</w:t>
            </w:r>
          </w:p>
        </w:tc>
        <w:tc>
          <w:tcPr>
            <w:tcW w:w="417" w:type="pct"/>
            <w:vAlign w:val="center"/>
          </w:tcPr>
          <w:p w14:paraId="57A8BEF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47" w:type="pct"/>
            <w:vAlign w:val="center"/>
          </w:tcPr>
          <w:p w14:paraId="7FB25EA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-0.6</w:t>
            </w:r>
          </w:p>
        </w:tc>
        <w:tc>
          <w:tcPr>
            <w:tcW w:w="383" w:type="pct"/>
            <w:vAlign w:val="center"/>
          </w:tcPr>
          <w:p w14:paraId="78E5CF2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-5.1</w:t>
            </w:r>
          </w:p>
        </w:tc>
        <w:tc>
          <w:tcPr>
            <w:tcW w:w="382" w:type="pct"/>
            <w:vAlign w:val="center"/>
          </w:tcPr>
          <w:p w14:paraId="23483A7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82" w:type="pct"/>
            <w:vAlign w:val="center"/>
          </w:tcPr>
          <w:p w14:paraId="24F7F5D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w:t>
            </w:r>
          </w:p>
        </w:tc>
        <w:tc>
          <w:tcPr>
            <w:tcW w:w="729" w:type="pct"/>
            <w:vAlign w:val="center"/>
          </w:tcPr>
          <w:p w14:paraId="579E462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bCs/>
                <w:color w:val="000000"/>
              </w:rPr>
              <w:t xml:space="preserve">-9.7 </w:t>
            </w:r>
          </w:p>
        </w:tc>
      </w:tr>
      <w:tr w:rsidR="00CA6589" w:rsidRPr="00753072" w14:paraId="22759852"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Pr>
          <w:p w14:paraId="298C9FB3" w14:textId="77777777" w:rsidR="00CA6589"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eastAsia="Times New Roman" w:hAnsiTheme="minorHAnsi"/>
              </w:rPr>
              <w:t>_All</w:t>
            </w:r>
          </w:p>
        </w:tc>
        <w:tc>
          <w:tcPr>
            <w:tcW w:w="452" w:type="pct"/>
            <w:noWrap/>
            <w:vAlign w:val="center"/>
          </w:tcPr>
          <w:p w14:paraId="12D7702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4.4</w:t>
            </w:r>
          </w:p>
        </w:tc>
        <w:tc>
          <w:tcPr>
            <w:tcW w:w="278" w:type="pct"/>
            <w:noWrap/>
            <w:vAlign w:val="center"/>
          </w:tcPr>
          <w:p w14:paraId="6DF6E8C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12" w:type="pct"/>
            <w:noWrap/>
            <w:vAlign w:val="center"/>
          </w:tcPr>
          <w:p w14:paraId="344DEFB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347" w:type="pct"/>
            <w:noWrap/>
            <w:vAlign w:val="center"/>
          </w:tcPr>
          <w:p w14:paraId="2CF31BD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0.1</w:t>
            </w:r>
          </w:p>
        </w:tc>
        <w:tc>
          <w:tcPr>
            <w:tcW w:w="417" w:type="pct"/>
            <w:vAlign w:val="center"/>
          </w:tcPr>
          <w:p w14:paraId="057F324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47" w:type="pct"/>
            <w:vAlign w:val="center"/>
          </w:tcPr>
          <w:p w14:paraId="7BB9030B"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-0.5</w:t>
            </w:r>
          </w:p>
        </w:tc>
        <w:tc>
          <w:tcPr>
            <w:tcW w:w="383" w:type="pct"/>
            <w:vAlign w:val="center"/>
          </w:tcPr>
          <w:p w14:paraId="03B6A5C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-1.3</w:t>
            </w:r>
          </w:p>
        </w:tc>
        <w:tc>
          <w:tcPr>
            <w:tcW w:w="382" w:type="pct"/>
            <w:vAlign w:val="center"/>
          </w:tcPr>
          <w:p w14:paraId="110167D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0.4</w:t>
            </w:r>
          </w:p>
        </w:tc>
        <w:tc>
          <w:tcPr>
            <w:tcW w:w="382" w:type="pct"/>
            <w:vAlign w:val="center"/>
          </w:tcPr>
          <w:p w14:paraId="7DF908E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2.4</w:t>
            </w:r>
          </w:p>
        </w:tc>
        <w:tc>
          <w:tcPr>
            <w:tcW w:w="729" w:type="pct"/>
            <w:vAlign w:val="center"/>
          </w:tcPr>
          <w:p w14:paraId="55D689E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bCs/>
                <w:color w:val="000000"/>
              </w:rPr>
              <w:t xml:space="preserve">5.4 </w:t>
            </w:r>
          </w:p>
        </w:tc>
      </w:tr>
      <w:tr w:rsidR="00CA6589" w:rsidRPr="00753072" w14:paraId="71895918" w14:textId="77777777" w:rsidTr="00CA6589">
        <w:trPr>
          <w:trHeight w:val="216"/>
        </w:trPr>
        <w:tc>
          <w:tcPr>
            <w:cnfStyle w:val="001000000000" w:firstRow="0" w:lastRow="0" w:firstColumn="1" w:lastColumn="0" w:oddVBand="0" w:evenVBand="0" w:oddHBand="0" w:evenHBand="0" w:firstRowFirstColumn="0" w:firstRowLastColumn="0" w:lastRowFirstColumn="0" w:lastRowLastColumn="0"/>
            <w:tcW w:w="971" w:type="pct"/>
          </w:tcPr>
          <w:p w14:paraId="1461521D" w14:textId="77777777" w:rsidR="00CA6589" w:rsidRDefault="00CA6589" w:rsidP="000656C9">
            <w:pPr>
              <w:spacing w:line="276" w:lineRule="auto"/>
              <w:rPr>
                <w:rFonts w:asciiTheme="minorHAnsi" w:eastAsia="Times New Roman" w:hAnsiTheme="minorHAnsi"/>
              </w:rPr>
            </w:pPr>
            <w:r>
              <w:rPr>
                <w:rFonts w:asciiTheme="minorHAnsi" w:eastAsia="Times New Roman" w:hAnsiTheme="minorHAnsi"/>
              </w:rPr>
              <w:t>CO</w:t>
            </w:r>
            <w:r w:rsidRPr="00CA1163">
              <w:rPr>
                <w:rFonts w:asciiTheme="minorHAnsi" w:eastAsia="Times New Roman" w:hAnsiTheme="minorHAnsi"/>
                <w:vertAlign w:val="subscript"/>
              </w:rPr>
              <w:t>2</w:t>
            </w:r>
            <w:r>
              <w:rPr>
                <w:rFonts w:asciiTheme="minorHAnsi" w:eastAsia="Times New Roman" w:hAnsiTheme="minorHAnsi"/>
              </w:rPr>
              <w:t>-CAP</w:t>
            </w:r>
            <w:r w:rsidRPr="00753072">
              <w:rPr>
                <w:rFonts w:asciiTheme="minorHAnsi" w:eastAsia="Times New Roman" w:hAnsiTheme="minorHAnsi"/>
              </w:rPr>
              <w:t>_All+EE</w:t>
            </w:r>
          </w:p>
        </w:tc>
        <w:tc>
          <w:tcPr>
            <w:tcW w:w="452" w:type="pct"/>
            <w:noWrap/>
            <w:vAlign w:val="center"/>
          </w:tcPr>
          <w:p w14:paraId="7497F19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-2.1</w:t>
            </w:r>
          </w:p>
        </w:tc>
        <w:tc>
          <w:tcPr>
            <w:tcW w:w="278" w:type="pct"/>
            <w:noWrap/>
            <w:vAlign w:val="center"/>
          </w:tcPr>
          <w:p w14:paraId="041BD32C"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-0.2</w:t>
            </w:r>
          </w:p>
        </w:tc>
        <w:tc>
          <w:tcPr>
            <w:tcW w:w="312" w:type="pct"/>
            <w:noWrap/>
            <w:vAlign w:val="center"/>
          </w:tcPr>
          <w:p w14:paraId="3A81042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w:t>
            </w:r>
          </w:p>
        </w:tc>
        <w:tc>
          <w:tcPr>
            <w:tcW w:w="347" w:type="pct"/>
            <w:noWrap/>
            <w:vAlign w:val="center"/>
          </w:tcPr>
          <w:p w14:paraId="0288CC06"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-1.1</w:t>
            </w:r>
          </w:p>
        </w:tc>
        <w:tc>
          <w:tcPr>
            <w:tcW w:w="417" w:type="pct"/>
            <w:vAlign w:val="center"/>
          </w:tcPr>
          <w:p w14:paraId="5507A7B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47" w:type="pct"/>
            <w:vAlign w:val="center"/>
          </w:tcPr>
          <w:p w14:paraId="21BA17C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-0.8</w:t>
            </w:r>
          </w:p>
        </w:tc>
        <w:tc>
          <w:tcPr>
            <w:tcW w:w="383" w:type="pct"/>
            <w:vAlign w:val="center"/>
          </w:tcPr>
          <w:p w14:paraId="7B2E5D1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-5.4</w:t>
            </w:r>
          </w:p>
        </w:tc>
        <w:tc>
          <w:tcPr>
            <w:tcW w:w="382" w:type="pct"/>
            <w:vAlign w:val="center"/>
          </w:tcPr>
          <w:p w14:paraId="3CB73A77"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0.3</w:t>
            </w:r>
          </w:p>
        </w:tc>
        <w:tc>
          <w:tcPr>
            <w:tcW w:w="382" w:type="pct"/>
            <w:vAlign w:val="center"/>
          </w:tcPr>
          <w:p w14:paraId="5C4AB6B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color w:val="000000"/>
              </w:rPr>
              <w:t>0</w:t>
            </w:r>
          </w:p>
        </w:tc>
        <w:tc>
          <w:tcPr>
            <w:tcW w:w="729" w:type="pct"/>
            <w:vAlign w:val="center"/>
          </w:tcPr>
          <w:p w14:paraId="3950F30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rPr>
            </w:pPr>
            <w:r w:rsidRPr="00753072">
              <w:rPr>
                <w:rFonts w:asciiTheme="minorHAnsi" w:eastAsia="Times New Roman" w:hAnsiTheme="minorHAnsi"/>
                <w:bCs/>
                <w:color w:val="000000"/>
              </w:rPr>
              <w:t xml:space="preserve">-9.6 </w:t>
            </w:r>
          </w:p>
        </w:tc>
      </w:tr>
    </w:tbl>
    <w:p w14:paraId="3D2BD4F8" w14:textId="77777777" w:rsidR="00CA6589" w:rsidRPr="00753072" w:rsidRDefault="00CA6589" w:rsidP="000656C9">
      <w:pPr>
        <w:pStyle w:val="Footnote"/>
        <w:spacing w:line="276" w:lineRule="auto"/>
        <w:rPr>
          <w:rFonts w:asciiTheme="minorHAnsi" w:hAnsiTheme="minorHAnsi"/>
          <w:sz w:val="24"/>
          <w:szCs w:val="24"/>
        </w:rPr>
      </w:pPr>
      <w:proofErr w:type="spellStart"/>
      <w:proofErr w:type="gramStart"/>
      <w:r w:rsidRPr="000978F8">
        <w:rPr>
          <w:rFonts w:asciiTheme="minorHAnsi" w:hAnsiTheme="minorHAnsi"/>
          <w:sz w:val="24"/>
          <w:szCs w:val="24"/>
          <w:vertAlign w:val="superscript"/>
        </w:rPr>
        <w:t>a</w:t>
      </w:r>
      <w:proofErr w:type="spellEnd"/>
      <w:proofErr w:type="gramEnd"/>
      <w:r>
        <w:rPr>
          <w:rFonts w:asciiTheme="minorHAnsi" w:hAnsiTheme="minorHAnsi"/>
          <w:sz w:val="24"/>
          <w:szCs w:val="24"/>
          <w:vertAlign w:val="superscript"/>
        </w:rPr>
        <w:t xml:space="preserve"> </w:t>
      </w:r>
      <w:r w:rsidRPr="00753072">
        <w:rPr>
          <w:rFonts w:asciiTheme="minorHAnsi" w:hAnsiTheme="minorHAnsi"/>
          <w:sz w:val="24"/>
          <w:szCs w:val="24"/>
        </w:rPr>
        <w:t>The present value</w:t>
      </w:r>
      <w:r>
        <w:rPr>
          <w:rFonts w:asciiTheme="minorHAnsi" w:hAnsiTheme="minorHAnsi"/>
          <w:sz w:val="24"/>
          <w:szCs w:val="24"/>
        </w:rPr>
        <w:t>s</w:t>
      </w:r>
      <w:r w:rsidRPr="00753072">
        <w:rPr>
          <w:rFonts w:asciiTheme="minorHAnsi" w:hAnsiTheme="minorHAnsi"/>
          <w:sz w:val="24"/>
          <w:szCs w:val="24"/>
        </w:rPr>
        <w:t xml:space="preserve"> are calculated using a 7% discount rate. Utility resource costs in 2030 are the difference between the utility resource costs forecast for 2030 and the cost of each </w:t>
      </w:r>
      <w:r>
        <w:rPr>
          <w:rFonts w:asciiTheme="minorHAnsi" w:hAnsiTheme="minorHAnsi"/>
          <w:sz w:val="24"/>
          <w:szCs w:val="24"/>
        </w:rPr>
        <w:t>mitigation</w:t>
      </w:r>
      <w:r w:rsidRPr="00753072">
        <w:rPr>
          <w:rFonts w:asciiTheme="minorHAnsi" w:hAnsiTheme="minorHAnsi"/>
          <w:sz w:val="24"/>
          <w:szCs w:val="24"/>
        </w:rPr>
        <w:t xml:space="preserve"> scenario. The estimates of utility resource costs are generated by </w:t>
      </w:r>
      <w:r>
        <w:rPr>
          <w:rFonts w:asciiTheme="minorHAnsi" w:hAnsiTheme="minorHAnsi"/>
          <w:sz w:val="24"/>
          <w:szCs w:val="24"/>
        </w:rPr>
        <w:t>GT-</w:t>
      </w:r>
      <w:r w:rsidRPr="00753072">
        <w:rPr>
          <w:rFonts w:asciiTheme="minorHAnsi" w:hAnsiTheme="minorHAnsi"/>
          <w:sz w:val="24"/>
          <w:szCs w:val="24"/>
        </w:rPr>
        <w:t xml:space="preserve">NEMS, based on each scenario’s assumptions about technology costs, demand growth, fuel prices, etc. </w:t>
      </w:r>
    </w:p>
    <w:p w14:paraId="61B0C728" w14:textId="77777777" w:rsidR="000050F6" w:rsidRPr="00C40B08" w:rsidRDefault="000050F6" w:rsidP="000050F6">
      <w:pPr>
        <w:pStyle w:val="Footnote"/>
        <w:spacing w:before="100" w:beforeAutospacing="1" w:after="100" w:afterAutospacing="1" w:line="276" w:lineRule="auto"/>
        <w:rPr>
          <w:sz w:val="24"/>
          <w:szCs w:val="24"/>
        </w:rPr>
      </w:pPr>
      <w:r w:rsidRPr="00C40B08">
        <w:rPr>
          <w:sz w:val="24"/>
          <w:szCs w:val="24"/>
        </w:rPr>
        <w:t xml:space="preserve">Purchased power costs are the only expense that is higher in all of the </w:t>
      </w:r>
      <w:r>
        <w:rPr>
          <w:sz w:val="24"/>
          <w:szCs w:val="24"/>
        </w:rPr>
        <w:t>mitigation</w:t>
      </w:r>
      <w:r w:rsidRPr="00C40B08">
        <w:rPr>
          <w:sz w:val="24"/>
          <w:szCs w:val="24"/>
        </w:rPr>
        <w:t xml:space="preserve"> scenarios than in the Reference case forecast in 2030. These expenses include purchases from </w:t>
      </w:r>
      <w:proofErr w:type="spellStart"/>
      <w:r w:rsidRPr="00C40B08">
        <w:rPr>
          <w:sz w:val="24"/>
          <w:szCs w:val="24"/>
        </w:rPr>
        <w:t>cogenerators</w:t>
      </w:r>
      <w:proofErr w:type="spellEnd"/>
      <w:r w:rsidRPr="00C40B08">
        <w:rPr>
          <w:sz w:val="24"/>
          <w:szCs w:val="24"/>
        </w:rPr>
        <w:t xml:space="preserve"> and the cost of net imports.</w:t>
      </w:r>
    </w:p>
    <w:p w14:paraId="55D54264" w14:textId="77777777" w:rsidR="000050F6" w:rsidRDefault="000050F6" w:rsidP="000050F6">
      <w:pPr>
        <w:pStyle w:val="Footnote"/>
        <w:spacing w:before="100" w:beforeAutospacing="1" w:after="100" w:afterAutospacing="1" w:line="276" w:lineRule="auto"/>
        <w:rPr>
          <w:sz w:val="24"/>
          <w:szCs w:val="24"/>
        </w:rPr>
      </w:pPr>
      <w:r w:rsidRPr="00C40B08">
        <w:rPr>
          <w:sz w:val="24"/>
          <w:szCs w:val="24"/>
        </w:rPr>
        <w:lastRenderedPageBreak/>
        <w:t xml:space="preserve">In total, utility resource costs would be approximately $4-5 billion (5-7%) higher than the Reference case in the two scenarios that do not include strong energy-efficiency policies. In contrast, they would be approximately $10 billion (12%) lower in both scenarios that include strong energy-efficiency policies. </w:t>
      </w:r>
    </w:p>
    <w:p w14:paraId="412FAEC9" w14:textId="77777777" w:rsidR="000050F6" w:rsidRPr="00C40B08" w:rsidRDefault="000050F6" w:rsidP="000050F6">
      <w:pPr>
        <w:pStyle w:val="Footnote"/>
        <w:spacing w:before="100" w:beforeAutospacing="1" w:after="100" w:afterAutospacing="1" w:line="276" w:lineRule="auto"/>
        <w:rPr>
          <w:sz w:val="24"/>
          <w:szCs w:val="24"/>
        </w:rPr>
      </w:pPr>
      <w:r w:rsidRPr="00C40B08">
        <w:rPr>
          <w:sz w:val="24"/>
          <w:szCs w:val="24"/>
        </w:rPr>
        <w:t>Table 3 displays the incremental energy-efficiency costs associated with the non-utility policies and programs modeled in this paper. These policies are not rate-based by the utility sector and in fact displace some of the utility</w:t>
      </w:r>
      <w:r w:rsidRPr="00C40B08">
        <w:rPr>
          <w:rFonts w:eastAsia="Helvetica" w:cs="Helvetica"/>
          <w:sz w:val="24"/>
          <w:szCs w:val="24"/>
        </w:rPr>
        <w:t>’s energy-efficiency program costs. By including strong local, state, and federal programs, additional utility energy-efficiency programs are not cost-effective.</w:t>
      </w:r>
    </w:p>
    <w:p w14:paraId="20FC023B" w14:textId="77777777" w:rsidR="00CA6589" w:rsidRPr="00CA6589" w:rsidRDefault="00CA6589" w:rsidP="000656C9">
      <w:pPr>
        <w:pStyle w:val="TablesandFigures"/>
        <w:spacing w:after="0" w:line="276" w:lineRule="auto"/>
        <w:jc w:val="center"/>
        <w:rPr>
          <w:rFonts w:ascii="Calibri" w:hAnsi="Calibri"/>
          <w:color w:val="auto"/>
          <w:sz w:val="24"/>
          <w:szCs w:val="24"/>
        </w:rPr>
      </w:pPr>
    </w:p>
    <w:p w14:paraId="7C2410AD" w14:textId="444EEA44" w:rsidR="004379B9" w:rsidRDefault="004379B9" w:rsidP="000656C9">
      <w:pPr>
        <w:pStyle w:val="TablesandFigures"/>
        <w:spacing w:after="0" w:line="276" w:lineRule="auto"/>
        <w:jc w:val="center"/>
        <w:rPr>
          <w:rFonts w:ascii="Calibri" w:hAnsi="Calibri"/>
          <w:color w:val="auto"/>
          <w:sz w:val="24"/>
          <w:szCs w:val="24"/>
        </w:rPr>
      </w:pPr>
      <w:r w:rsidRPr="00C40B08">
        <w:rPr>
          <w:rFonts w:ascii="Calibri" w:hAnsi="Calibri"/>
          <w:color w:val="auto"/>
          <w:sz w:val="24"/>
          <w:szCs w:val="24"/>
        </w:rPr>
        <w:t xml:space="preserve">Table 3. Present Value of </w:t>
      </w:r>
      <w:r w:rsidR="006C32A9">
        <w:rPr>
          <w:rFonts w:ascii="Calibri" w:hAnsi="Calibri"/>
          <w:color w:val="auto"/>
          <w:sz w:val="24"/>
          <w:szCs w:val="24"/>
        </w:rPr>
        <w:t>Mitigation</w:t>
      </w:r>
      <w:r w:rsidRPr="00C40B08">
        <w:rPr>
          <w:rFonts w:ascii="Calibri" w:hAnsi="Calibri"/>
          <w:color w:val="auto"/>
          <w:sz w:val="24"/>
          <w:szCs w:val="24"/>
        </w:rPr>
        <w:t xml:space="preserve"> </w:t>
      </w:r>
      <w:r w:rsidR="006B7E12" w:rsidRPr="00C40B08">
        <w:rPr>
          <w:rFonts w:ascii="Calibri" w:hAnsi="Calibri"/>
          <w:color w:val="auto"/>
          <w:sz w:val="24"/>
          <w:szCs w:val="24"/>
        </w:rPr>
        <w:t xml:space="preserve">Costs </w:t>
      </w:r>
      <w:r w:rsidR="000978F8" w:rsidRPr="00C40B08">
        <w:rPr>
          <w:rFonts w:ascii="Calibri" w:hAnsi="Calibri"/>
          <w:color w:val="auto"/>
          <w:sz w:val="24"/>
          <w:szCs w:val="24"/>
        </w:rPr>
        <w:t>in 2030 (in Billions $2013</w:t>
      </w:r>
      <w:proofErr w:type="gramStart"/>
      <w:r w:rsidR="000978F8" w:rsidRPr="00C40B08">
        <w:rPr>
          <w:rFonts w:ascii="Calibri" w:hAnsi="Calibri"/>
          <w:color w:val="auto"/>
          <w:sz w:val="24"/>
          <w:szCs w:val="24"/>
        </w:rPr>
        <w:t>)</w:t>
      </w:r>
      <w:r w:rsidR="000978F8" w:rsidRPr="00C40B08">
        <w:rPr>
          <w:rFonts w:ascii="Calibri" w:hAnsi="Calibri"/>
          <w:color w:val="auto"/>
          <w:sz w:val="24"/>
          <w:szCs w:val="24"/>
          <w:vertAlign w:val="superscript"/>
        </w:rPr>
        <w:t>a</w:t>
      </w:r>
      <w:proofErr w:type="gramEnd"/>
    </w:p>
    <w:tbl>
      <w:tblPr>
        <w:tblStyle w:val="TableGrid"/>
        <w:tblW w:w="50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1260"/>
        <w:gridCol w:w="1384"/>
        <w:gridCol w:w="1076"/>
        <w:gridCol w:w="1045"/>
        <w:gridCol w:w="1060"/>
        <w:gridCol w:w="222"/>
        <w:gridCol w:w="1384"/>
        <w:gridCol w:w="1076"/>
        <w:gridCol w:w="1045"/>
        <w:gridCol w:w="1060"/>
        <w:gridCol w:w="1260"/>
      </w:tblGrid>
      <w:tr w:rsidR="00CA6589" w14:paraId="1F3FA761" w14:textId="77777777" w:rsidTr="00CA6589">
        <w:tc>
          <w:tcPr>
            <w:tcW w:w="492" w:type="pct"/>
          </w:tcPr>
          <w:p w14:paraId="37FB35AD" w14:textId="77777777" w:rsidR="00CA6589" w:rsidRPr="00EB4418" w:rsidRDefault="00CA6589" w:rsidP="000656C9">
            <w:pPr>
              <w:pStyle w:val="TablesandFigures"/>
              <w:spacing w:after="0" w:line="276" w:lineRule="auto"/>
              <w:jc w:val="left"/>
              <w:rPr>
                <w:color w:val="auto"/>
                <w:sz w:val="24"/>
                <w:szCs w:val="24"/>
              </w:rPr>
            </w:pPr>
          </w:p>
        </w:tc>
        <w:tc>
          <w:tcPr>
            <w:tcW w:w="509" w:type="pct"/>
            <w:vMerge w:val="restart"/>
          </w:tcPr>
          <w:p w14:paraId="3B470C68" w14:textId="77777777" w:rsidR="00CA6589" w:rsidRPr="00EB4418" w:rsidRDefault="00CA6589" w:rsidP="000656C9">
            <w:pPr>
              <w:spacing w:line="276" w:lineRule="auto"/>
              <w:ind w:right="113"/>
              <w:rPr>
                <w:rFonts w:asciiTheme="minorHAnsi" w:eastAsia="Times New Roman" w:hAnsiTheme="minorHAnsi"/>
                <w:b/>
              </w:rPr>
            </w:pPr>
            <w:r w:rsidRPr="00EB4418">
              <w:rPr>
                <w:rFonts w:asciiTheme="minorHAnsi" w:eastAsia="Times New Roman" w:hAnsiTheme="minorHAnsi"/>
                <w:b/>
              </w:rPr>
              <w:t xml:space="preserve">Utility Resource </w:t>
            </w:r>
          </w:p>
          <w:p w14:paraId="2FB3D477" w14:textId="77777777" w:rsidR="00CA6589" w:rsidRPr="00EB4418" w:rsidRDefault="00CA6589" w:rsidP="000656C9">
            <w:pPr>
              <w:pStyle w:val="TablesandFigures"/>
              <w:spacing w:after="0" w:line="276" w:lineRule="auto"/>
              <w:jc w:val="left"/>
              <w:rPr>
                <w:color w:val="auto"/>
                <w:sz w:val="24"/>
                <w:szCs w:val="24"/>
              </w:rPr>
            </w:pPr>
            <w:r>
              <w:rPr>
                <w:rFonts w:eastAsia="Times New Roman"/>
                <w:color w:val="auto"/>
                <w:sz w:val="24"/>
                <w:szCs w:val="24"/>
              </w:rPr>
              <w:t>Mitigation</w:t>
            </w:r>
            <w:r w:rsidRPr="00EB4418">
              <w:rPr>
                <w:rFonts w:eastAsia="Times New Roman"/>
                <w:color w:val="auto"/>
                <w:sz w:val="24"/>
                <w:szCs w:val="24"/>
              </w:rPr>
              <w:t xml:space="preserve"> Costs</w:t>
            </w:r>
          </w:p>
        </w:tc>
        <w:tc>
          <w:tcPr>
            <w:tcW w:w="1685" w:type="pct"/>
            <w:gridSpan w:val="4"/>
            <w:tcBorders>
              <w:bottom w:val="single" w:sz="4" w:space="0" w:color="auto"/>
            </w:tcBorders>
          </w:tcPr>
          <w:p w14:paraId="20EA952D" w14:textId="77777777" w:rsidR="00CA6589" w:rsidRDefault="00CA6589" w:rsidP="000656C9">
            <w:pPr>
              <w:pStyle w:val="TablesandFigures"/>
              <w:spacing w:after="0" w:line="276" w:lineRule="auto"/>
              <w:jc w:val="center"/>
              <w:rPr>
                <w:rFonts w:eastAsia="Times New Roman"/>
                <w:color w:val="auto"/>
                <w:sz w:val="24"/>
                <w:szCs w:val="24"/>
              </w:rPr>
            </w:pPr>
          </w:p>
          <w:p w14:paraId="62699ECF" w14:textId="77777777" w:rsidR="00CA6589" w:rsidRPr="00EB4418" w:rsidRDefault="00CA6589" w:rsidP="000656C9">
            <w:pPr>
              <w:pStyle w:val="TablesandFigures"/>
              <w:spacing w:after="0" w:line="276" w:lineRule="auto"/>
              <w:jc w:val="center"/>
              <w:rPr>
                <w:color w:val="auto"/>
                <w:sz w:val="24"/>
                <w:szCs w:val="24"/>
              </w:rPr>
            </w:pPr>
            <w:r w:rsidRPr="00EB4418">
              <w:rPr>
                <w:rFonts w:eastAsia="Times New Roman"/>
                <w:color w:val="auto"/>
                <w:sz w:val="24"/>
                <w:szCs w:val="24"/>
              </w:rPr>
              <w:t xml:space="preserve">Energy-Efficiency Investment </w:t>
            </w:r>
            <w:r>
              <w:rPr>
                <w:rFonts w:eastAsia="Times New Roman"/>
                <w:color w:val="auto"/>
                <w:sz w:val="24"/>
                <w:szCs w:val="24"/>
              </w:rPr>
              <w:t>Premiums</w:t>
            </w:r>
          </w:p>
        </w:tc>
        <w:tc>
          <w:tcPr>
            <w:tcW w:w="85" w:type="pct"/>
          </w:tcPr>
          <w:p w14:paraId="08FE65A3" w14:textId="77777777" w:rsidR="00CA6589" w:rsidRPr="00EB4418" w:rsidRDefault="00CA6589" w:rsidP="000656C9">
            <w:pPr>
              <w:spacing w:line="276" w:lineRule="auto"/>
              <w:ind w:right="113"/>
              <w:jc w:val="center"/>
              <w:rPr>
                <w:rFonts w:asciiTheme="minorHAnsi" w:eastAsia="Times New Roman" w:hAnsiTheme="minorHAnsi"/>
                <w:b/>
              </w:rPr>
            </w:pPr>
          </w:p>
        </w:tc>
        <w:tc>
          <w:tcPr>
            <w:tcW w:w="1685" w:type="pct"/>
            <w:gridSpan w:val="4"/>
            <w:tcBorders>
              <w:bottom w:val="single" w:sz="4" w:space="0" w:color="auto"/>
            </w:tcBorders>
          </w:tcPr>
          <w:p w14:paraId="228DCA0D" w14:textId="77777777" w:rsidR="00CA6589" w:rsidRDefault="00CA6589" w:rsidP="000656C9">
            <w:pPr>
              <w:spacing w:line="276" w:lineRule="auto"/>
              <w:ind w:right="113"/>
              <w:jc w:val="center"/>
              <w:rPr>
                <w:rFonts w:asciiTheme="minorHAnsi" w:eastAsia="Times New Roman" w:hAnsiTheme="minorHAnsi"/>
                <w:b/>
              </w:rPr>
            </w:pPr>
          </w:p>
          <w:p w14:paraId="348D122A" w14:textId="77777777" w:rsidR="00CA6589" w:rsidRPr="00EB4418" w:rsidRDefault="00CA6589" w:rsidP="000656C9">
            <w:pPr>
              <w:spacing w:line="276" w:lineRule="auto"/>
              <w:ind w:right="113"/>
              <w:jc w:val="center"/>
              <w:rPr>
                <w:rFonts w:asciiTheme="minorHAnsi" w:eastAsia="Times New Roman" w:hAnsiTheme="minorHAnsi"/>
                <w:b/>
              </w:rPr>
            </w:pPr>
            <w:r w:rsidRPr="00EB4418">
              <w:rPr>
                <w:rFonts w:asciiTheme="minorHAnsi" w:eastAsia="Times New Roman" w:hAnsiTheme="minorHAnsi"/>
                <w:b/>
              </w:rPr>
              <w:t>Energy-Efficiency Administrative Costs</w:t>
            </w:r>
          </w:p>
        </w:tc>
        <w:tc>
          <w:tcPr>
            <w:tcW w:w="544" w:type="pct"/>
            <w:vMerge w:val="restart"/>
          </w:tcPr>
          <w:p w14:paraId="22FEAD00"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 xml:space="preserve">Total </w:t>
            </w:r>
            <w:r>
              <w:rPr>
                <w:rFonts w:eastAsia="Times New Roman"/>
                <w:color w:val="auto"/>
                <w:sz w:val="24"/>
                <w:szCs w:val="24"/>
              </w:rPr>
              <w:t>Mitigation</w:t>
            </w:r>
            <w:r w:rsidRPr="00EB4418">
              <w:rPr>
                <w:rFonts w:eastAsia="Times New Roman"/>
                <w:color w:val="auto"/>
                <w:sz w:val="24"/>
                <w:szCs w:val="24"/>
              </w:rPr>
              <w:t xml:space="preserve"> Costs</w:t>
            </w:r>
          </w:p>
        </w:tc>
      </w:tr>
      <w:tr w:rsidR="00CA6589" w14:paraId="6151A909" w14:textId="77777777" w:rsidTr="00CA6589">
        <w:tc>
          <w:tcPr>
            <w:tcW w:w="492" w:type="pct"/>
            <w:tcBorders>
              <w:bottom w:val="single" w:sz="4" w:space="0" w:color="auto"/>
            </w:tcBorders>
          </w:tcPr>
          <w:p w14:paraId="6804E790" w14:textId="77777777" w:rsidR="00CA6589" w:rsidRPr="00EB4418" w:rsidRDefault="00CA6589" w:rsidP="000656C9">
            <w:pPr>
              <w:pStyle w:val="TablesandFigures"/>
              <w:spacing w:after="0" w:line="276" w:lineRule="auto"/>
              <w:jc w:val="left"/>
              <w:rPr>
                <w:color w:val="auto"/>
                <w:sz w:val="24"/>
                <w:szCs w:val="24"/>
              </w:rPr>
            </w:pPr>
          </w:p>
        </w:tc>
        <w:tc>
          <w:tcPr>
            <w:tcW w:w="509" w:type="pct"/>
            <w:vMerge/>
            <w:tcBorders>
              <w:bottom w:val="single" w:sz="4" w:space="0" w:color="auto"/>
            </w:tcBorders>
          </w:tcPr>
          <w:p w14:paraId="1F34696A" w14:textId="77777777" w:rsidR="00CA6589" w:rsidRPr="00EB4418" w:rsidRDefault="00CA6589" w:rsidP="000656C9">
            <w:pPr>
              <w:pStyle w:val="TablesandFigures"/>
              <w:spacing w:after="0" w:line="276" w:lineRule="auto"/>
              <w:jc w:val="left"/>
              <w:rPr>
                <w:color w:val="auto"/>
                <w:sz w:val="24"/>
                <w:szCs w:val="24"/>
              </w:rPr>
            </w:pPr>
          </w:p>
        </w:tc>
        <w:tc>
          <w:tcPr>
            <w:tcW w:w="510" w:type="pct"/>
            <w:tcBorders>
              <w:top w:val="single" w:sz="4" w:space="0" w:color="auto"/>
              <w:bottom w:val="single" w:sz="4" w:space="0" w:color="auto"/>
            </w:tcBorders>
          </w:tcPr>
          <w:p w14:paraId="38BCC2C7" w14:textId="77777777" w:rsidR="00CA6589" w:rsidRPr="00EB4418" w:rsidRDefault="00CA6589" w:rsidP="000656C9">
            <w:pPr>
              <w:pStyle w:val="TablesandFigures"/>
              <w:spacing w:after="0" w:line="276" w:lineRule="auto"/>
              <w:jc w:val="left"/>
              <w:rPr>
                <w:color w:val="auto"/>
                <w:sz w:val="24"/>
                <w:szCs w:val="24"/>
              </w:rPr>
            </w:pPr>
            <w:r>
              <w:rPr>
                <w:rFonts w:eastAsia="Times New Roman"/>
                <w:color w:val="auto"/>
                <w:sz w:val="24"/>
                <w:szCs w:val="24"/>
              </w:rPr>
              <w:t>House</w:t>
            </w:r>
            <w:r w:rsidRPr="00EB4418">
              <w:rPr>
                <w:rFonts w:eastAsia="Times New Roman"/>
                <w:color w:val="auto"/>
                <w:sz w:val="24"/>
                <w:szCs w:val="24"/>
              </w:rPr>
              <w:t>holds</w:t>
            </w:r>
          </w:p>
        </w:tc>
        <w:tc>
          <w:tcPr>
            <w:tcW w:w="397" w:type="pct"/>
            <w:tcBorders>
              <w:top w:val="single" w:sz="4" w:space="0" w:color="auto"/>
              <w:bottom w:val="single" w:sz="4" w:space="0" w:color="auto"/>
            </w:tcBorders>
          </w:tcPr>
          <w:p w14:paraId="3C8919C5"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Business</w:t>
            </w:r>
          </w:p>
        </w:tc>
        <w:tc>
          <w:tcPr>
            <w:tcW w:w="386" w:type="pct"/>
            <w:tcBorders>
              <w:top w:val="single" w:sz="4" w:space="0" w:color="auto"/>
              <w:bottom w:val="single" w:sz="4" w:space="0" w:color="auto"/>
            </w:tcBorders>
          </w:tcPr>
          <w:p w14:paraId="72AE6D5C"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Industry</w:t>
            </w:r>
          </w:p>
        </w:tc>
        <w:tc>
          <w:tcPr>
            <w:tcW w:w="392" w:type="pct"/>
            <w:tcBorders>
              <w:top w:val="single" w:sz="4" w:space="0" w:color="auto"/>
              <w:bottom w:val="single" w:sz="4" w:space="0" w:color="auto"/>
            </w:tcBorders>
          </w:tcPr>
          <w:p w14:paraId="28A6579D"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bCs/>
                <w:color w:val="auto"/>
                <w:sz w:val="24"/>
                <w:szCs w:val="24"/>
              </w:rPr>
              <w:t>Subtotal</w:t>
            </w:r>
          </w:p>
        </w:tc>
        <w:tc>
          <w:tcPr>
            <w:tcW w:w="85" w:type="pct"/>
            <w:tcBorders>
              <w:bottom w:val="single" w:sz="4" w:space="0" w:color="auto"/>
            </w:tcBorders>
          </w:tcPr>
          <w:p w14:paraId="107BD8D0" w14:textId="77777777" w:rsidR="00CA6589" w:rsidRDefault="00CA6589" w:rsidP="000656C9">
            <w:pPr>
              <w:pStyle w:val="TablesandFigures"/>
              <w:spacing w:after="0" w:line="276" w:lineRule="auto"/>
              <w:jc w:val="left"/>
              <w:rPr>
                <w:rFonts w:eastAsia="Times New Roman"/>
                <w:color w:val="auto"/>
                <w:sz w:val="24"/>
                <w:szCs w:val="24"/>
              </w:rPr>
            </w:pPr>
          </w:p>
        </w:tc>
        <w:tc>
          <w:tcPr>
            <w:tcW w:w="510" w:type="pct"/>
            <w:tcBorders>
              <w:top w:val="single" w:sz="4" w:space="0" w:color="auto"/>
              <w:bottom w:val="single" w:sz="4" w:space="0" w:color="auto"/>
            </w:tcBorders>
          </w:tcPr>
          <w:p w14:paraId="7A394E91" w14:textId="77777777" w:rsidR="00CA6589" w:rsidRPr="00EB4418" w:rsidRDefault="00CA6589" w:rsidP="000656C9">
            <w:pPr>
              <w:pStyle w:val="TablesandFigures"/>
              <w:spacing w:after="0" w:line="276" w:lineRule="auto"/>
              <w:jc w:val="left"/>
              <w:rPr>
                <w:color w:val="auto"/>
                <w:sz w:val="24"/>
                <w:szCs w:val="24"/>
              </w:rPr>
            </w:pPr>
            <w:r>
              <w:rPr>
                <w:rFonts w:eastAsia="Times New Roman"/>
                <w:color w:val="auto"/>
                <w:sz w:val="24"/>
                <w:szCs w:val="24"/>
              </w:rPr>
              <w:t>House</w:t>
            </w:r>
            <w:r w:rsidRPr="00EB4418">
              <w:rPr>
                <w:rFonts w:eastAsia="Times New Roman"/>
                <w:color w:val="auto"/>
                <w:sz w:val="24"/>
                <w:szCs w:val="24"/>
              </w:rPr>
              <w:t>holds</w:t>
            </w:r>
          </w:p>
        </w:tc>
        <w:tc>
          <w:tcPr>
            <w:tcW w:w="397" w:type="pct"/>
            <w:tcBorders>
              <w:top w:val="single" w:sz="4" w:space="0" w:color="auto"/>
              <w:bottom w:val="single" w:sz="4" w:space="0" w:color="auto"/>
            </w:tcBorders>
          </w:tcPr>
          <w:p w14:paraId="03881AEC"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 xml:space="preserve">Business </w:t>
            </w:r>
          </w:p>
        </w:tc>
        <w:tc>
          <w:tcPr>
            <w:tcW w:w="386" w:type="pct"/>
            <w:tcBorders>
              <w:top w:val="single" w:sz="4" w:space="0" w:color="auto"/>
              <w:bottom w:val="single" w:sz="4" w:space="0" w:color="auto"/>
            </w:tcBorders>
          </w:tcPr>
          <w:p w14:paraId="177D8828"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Industry</w:t>
            </w:r>
          </w:p>
        </w:tc>
        <w:tc>
          <w:tcPr>
            <w:tcW w:w="392" w:type="pct"/>
            <w:tcBorders>
              <w:top w:val="single" w:sz="4" w:space="0" w:color="auto"/>
              <w:bottom w:val="single" w:sz="4" w:space="0" w:color="auto"/>
            </w:tcBorders>
          </w:tcPr>
          <w:p w14:paraId="45DD37C1"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Subtotal</w:t>
            </w:r>
          </w:p>
        </w:tc>
        <w:tc>
          <w:tcPr>
            <w:tcW w:w="544" w:type="pct"/>
            <w:vMerge/>
            <w:tcBorders>
              <w:bottom w:val="single" w:sz="4" w:space="0" w:color="auto"/>
            </w:tcBorders>
          </w:tcPr>
          <w:p w14:paraId="52B0BD0E" w14:textId="77777777" w:rsidR="00CA6589" w:rsidRPr="00EB4418" w:rsidRDefault="00CA6589" w:rsidP="000656C9">
            <w:pPr>
              <w:pStyle w:val="TablesandFigures"/>
              <w:spacing w:after="0" w:line="276" w:lineRule="auto"/>
              <w:jc w:val="left"/>
              <w:rPr>
                <w:color w:val="auto"/>
                <w:sz w:val="24"/>
                <w:szCs w:val="24"/>
              </w:rPr>
            </w:pPr>
          </w:p>
        </w:tc>
      </w:tr>
      <w:tr w:rsidR="00CA6589" w14:paraId="4DA06C44" w14:textId="77777777" w:rsidTr="00CA6589">
        <w:tc>
          <w:tcPr>
            <w:tcW w:w="492" w:type="pct"/>
            <w:tcBorders>
              <w:top w:val="single" w:sz="4" w:space="0" w:color="auto"/>
              <w:bottom w:val="single" w:sz="4" w:space="0" w:color="auto"/>
            </w:tcBorders>
          </w:tcPr>
          <w:p w14:paraId="14CEAE24" w14:textId="77777777" w:rsidR="00CA6589" w:rsidRDefault="00CA6589" w:rsidP="000656C9">
            <w:pPr>
              <w:pStyle w:val="TablesandFigures"/>
              <w:spacing w:after="0" w:line="276" w:lineRule="auto"/>
              <w:jc w:val="left"/>
              <w:rPr>
                <w:rFonts w:eastAsia="Times New Roman"/>
                <w:color w:val="auto"/>
                <w:sz w:val="24"/>
                <w:szCs w:val="24"/>
              </w:rPr>
            </w:pPr>
            <w:r w:rsidRPr="00EB4418">
              <w:rPr>
                <w:rFonts w:eastAsia="Times New Roman"/>
                <w:color w:val="auto"/>
                <w:sz w:val="24"/>
                <w:szCs w:val="24"/>
              </w:rPr>
              <w:t>CO</w:t>
            </w:r>
            <w:r w:rsidRPr="00EB4418">
              <w:rPr>
                <w:rFonts w:eastAsia="Times New Roman"/>
                <w:color w:val="auto"/>
                <w:sz w:val="24"/>
                <w:szCs w:val="24"/>
                <w:vertAlign w:val="subscript"/>
              </w:rPr>
              <w:t>2</w:t>
            </w:r>
            <w:r w:rsidRPr="00EB4418">
              <w:rPr>
                <w:rFonts w:eastAsia="Times New Roman"/>
                <w:color w:val="auto"/>
                <w:sz w:val="24"/>
                <w:szCs w:val="24"/>
              </w:rPr>
              <w:t>-</w:t>
            </w:r>
            <w:r>
              <w:rPr>
                <w:rFonts w:eastAsia="Times New Roman"/>
                <w:color w:val="auto"/>
                <w:sz w:val="24"/>
                <w:szCs w:val="24"/>
              </w:rPr>
              <w:t>C</w:t>
            </w:r>
            <w:r w:rsidRPr="00EB4418">
              <w:rPr>
                <w:rFonts w:eastAsia="Times New Roman"/>
                <w:color w:val="auto"/>
                <w:sz w:val="24"/>
                <w:szCs w:val="24"/>
              </w:rPr>
              <w:t>AP_</w:t>
            </w:r>
          </w:p>
          <w:p w14:paraId="57FB55D2"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Existing</w:t>
            </w:r>
          </w:p>
        </w:tc>
        <w:tc>
          <w:tcPr>
            <w:tcW w:w="509" w:type="pct"/>
            <w:tcBorders>
              <w:top w:val="single" w:sz="4" w:space="0" w:color="auto"/>
              <w:bottom w:val="single" w:sz="4" w:space="0" w:color="auto"/>
            </w:tcBorders>
            <w:vAlign w:val="center"/>
          </w:tcPr>
          <w:p w14:paraId="601842B6"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bCs/>
                <w:color w:val="auto"/>
                <w:sz w:val="24"/>
                <w:szCs w:val="24"/>
              </w:rPr>
              <w:t>4.1</w:t>
            </w:r>
          </w:p>
        </w:tc>
        <w:tc>
          <w:tcPr>
            <w:tcW w:w="510" w:type="pct"/>
            <w:tcBorders>
              <w:top w:val="single" w:sz="4" w:space="0" w:color="auto"/>
              <w:bottom w:val="single" w:sz="4" w:space="0" w:color="auto"/>
            </w:tcBorders>
            <w:vAlign w:val="center"/>
          </w:tcPr>
          <w:p w14:paraId="1DC42FC3"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7" w:type="pct"/>
            <w:tcBorders>
              <w:top w:val="single" w:sz="4" w:space="0" w:color="auto"/>
              <w:bottom w:val="single" w:sz="4" w:space="0" w:color="auto"/>
            </w:tcBorders>
            <w:vAlign w:val="center"/>
          </w:tcPr>
          <w:p w14:paraId="0A69180C"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86" w:type="pct"/>
            <w:tcBorders>
              <w:top w:val="single" w:sz="4" w:space="0" w:color="auto"/>
              <w:bottom w:val="single" w:sz="4" w:space="0" w:color="auto"/>
            </w:tcBorders>
            <w:vAlign w:val="center"/>
          </w:tcPr>
          <w:p w14:paraId="7CCC2D6B"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1.06</w:t>
            </w:r>
          </w:p>
        </w:tc>
        <w:tc>
          <w:tcPr>
            <w:tcW w:w="392" w:type="pct"/>
            <w:tcBorders>
              <w:top w:val="single" w:sz="4" w:space="0" w:color="auto"/>
              <w:bottom w:val="single" w:sz="4" w:space="0" w:color="auto"/>
            </w:tcBorders>
            <w:vAlign w:val="center"/>
          </w:tcPr>
          <w:p w14:paraId="3FF75064"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1.06</w:t>
            </w:r>
          </w:p>
        </w:tc>
        <w:tc>
          <w:tcPr>
            <w:tcW w:w="85" w:type="pct"/>
            <w:tcBorders>
              <w:top w:val="single" w:sz="4" w:space="0" w:color="auto"/>
              <w:bottom w:val="single" w:sz="4" w:space="0" w:color="auto"/>
            </w:tcBorders>
          </w:tcPr>
          <w:p w14:paraId="0DD3E32C" w14:textId="77777777" w:rsidR="00CA6589" w:rsidRPr="00EB4418" w:rsidRDefault="00CA6589" w:rsidP="000656C9">
            <w:pPr>
              <w:pStyle w:val="TablesandFigures"/>
              <w:spacing w:after="0" w:line="276" w:lineRule="auto"/>
              <w:jc w:val="center"/>
              <w:rPr>
                <w:rFonts w:eastAsia="Times New Roman"/>
                <w:b w:val="0"/>
                <w:color w:val="auto"/>
                <w:sz w:val="24"/>
                <w:szCs w:val="24"/>
              </w:rPr>
            </w:pPr>
          </w:p>
        </w:tc>
        <w:tc>
          <w:tcPr>
            <w:tcW w:w="510" w:type="pct"/>
            <w:tcBorders>
              <w:top w:val="single" w:sz="4" w:space="0" w:color="auto"/>
              <w:bottom w:val="single" w:sz="4" w:space="0" w:color="auto"/>
            </w:tcBorders>
            <w:vAlign w:val="center"/>
          </w:tcPr>
          <w:p w14:paraId="14BED678"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7" w:type="pct"/>
            <w:tcBorders>
              <w:top w:val="single" w:sz="4" w:space="0" w:color="auto"/>
              <w:bottom w:val="single" w:sz="4" w:space="0" w:color="auto"/>
            </w:tcBorders>
            <w:vAlign w:val="center"/>
          </w:tcPr>
          <w:p w14:paraId="78367802"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86" w:type="pct"/>
            <w:tcBorders>
              <w:top w:val="single" w:sz="4" w:space="0" w:color="auto"/>
              <w:bottom w:val="single" w:sz="4" w:space="0" w:color="auto"/>
            </w:tcBorders>
            <w:vAlign w:val="center"/>
          </w:tcPr>
          <w:p w14:paraId="5CA6CA54"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2" w:type="pct"/>
            <w:tcBorders>
              <w:top w:val="single" w:sz="4" w:space="0" w:color="auto"/>
              <w:bottom w:val="single" w:sz="4" w:space="0" w:color="auto"/>
            </w:tcBorders>
            <w:vAlign w:val="center"/>
          </w:tcPr>
          <w:p w14:paraId="05ACDE0C"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544" w:type="pct"/>
            <w:tcBorders>
              <w:top w:val="single" w:sz="4" w:space="0" w:color="auto"/>
              <w:bottom w:val="single" w:sz="4" w:space="0" w:color="auto"/>
            </w:tcBorders>
            <w:vAlign w:val="center"/>
          </w:tcPr>
          <w:p w14:paraId="53CF2A8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5.16</w:t>
            </w:r>
          </w:p>
        </w:tc>
      </w:tr>
      <w:tr w:rsidR="00CA6589" w14:paraId="324FFB79" w14:textId="77777777" w:rsidTr="00CA6589">
        <w:tc>
          <w:tcPr>
            <w:tcW w:w="492" w:type="pct"/>
            <w:tcBorders>
              <w:top w:val="single" w:sz="4" w:space="0" w:color="auto"/>
              <w:bottom w:val="single" w:sz="4" w:space="0" w:color="auto"/>
            </w:tcBorders>
          </w:tcPr>
          <w:p w14:paraId="1E664F03" w14:textId="77777777" w:rsidR="00CA6589" w:rsidRDefault="00CA6589" w:rsidP="000656C9">
            <w:pPr>
              <w:pStyle w:val="TablesandFigures"/>
              <w:spacing w:after="0" w:line="276" w:lineRule="auto"/>
              <w:jc w:val="left"/>
              <w:rPr>
                <w:rFonts w:eastAsia="Times New Roman"/>
                <w:color w:val="auto"/>
                <w:sz w:val="24"/>
                <w:szCs w:val="24"/>
              </w:rPr>
            </w:pPr>
            <w:r w:rsidRPr="00EB4418">
              <w:rPr>
                <w:rFonts w:eastAsia="Times New Roman"/>
                <w:color w:val="auto"/>
                <w:sz w:val="24"/>
                <w:szCs w:val="24"/>
              </w:rPr>
              <w:t>CO</w:t>
            </w:r>
            <w:r w:rsidRPr="00EB4418">
              <w:rPr>
                <w:rFonts w:eastAsia="Times New Roman"/>
                <w:color w:val="auto"/>
                <w:sz w:val="24"/>
                <w:szCs w:val="24"/>
                <w:vertAlign w:val="subscript"/>
              </w:rPr>
              <w:t>2</w:t>
            </w:r>
            <w:r w:rsidRPr="00EB4418">
              <w:rPr>
                <w:rFonts w:eastAsia="Times New Roman"/>
                <w:color w:val="auto"/>
                <w:sz w:val="24"/>
                <w:szCs w:val="24"/>
              </w:rPr>
              <w:t>-CAP_</w:t>
            </w:r>
          </w:p>
          <w:p w14:paraId="55F1E58E" w14:textId="77777777" w:rsidR="00CA6589" w:rsidRPr="00EB4418" w:rsidRDefault="00CA6589" w:rsidP="000656C9">
            <w:pPr>
              <w:pStyle w:val="TablesandFigures"/>
              <w:spacing w:after="0" w:line="276" w:lineRule="auto"/>
              <w:jc w:val="left"/>
              <w:rPr>
                <w:color w:val="auto"/>
                <w:sz w:val="24"/>
                <w:szCs w:val="24"/>
              </w:rPr>
            </w:pPr>
            <w:proofErr w:type="spellStart"/>
            <w:r w:rsidRPr="00EB4418">
              <w:rPr>
                <w:rFonts w:eastAsia="Times New Roman"/>
                <w:color w:val="auto"/>
                <w:sz w:val="24"/>
                <w:szCs w:val="24"/>
              </w:rPr>
              <w:t>Existing+EE</w:t>
            </w:r>
            <w:proofErr w:type="spellEnd"/>
          </w:p>
        </w:tc>
        <w:tc>
          <w:tcPr>
            <w:tcW w:w="509" w:type="pct"/>
            <w:tcBorders>
              <w:top w:val="single" w:sz="4" w:space="0" w:color="auto"/>
              <w:bottom w:val="single" w:sz="4" w:space="0" w:color="auto"/>
            </w:tcBorders>
            <w:vAlign w:val="center"/>
          </w:tcPr>
          <w:p w14:paraId="3C004CA8"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bCs/>
                <w:color w:val="auto"/>
                <w:sz w:val="24"/>
                <w:szCs w:val="24"/>
              </w:rPr>
              <w:t>-9.7</w:t>
            </w:r>
          </w:p>
        </w:tc>
        <w:tc>
          <w:tcPr>
            <w:tcW w:w="510" w:type="pct"/>
            <w:tcBorders>
              <w:top w:val="single" w:sz="4" w:space="0" w:color="auto"/>
              <w:bottom w:val="single" w:sz="4" w:space="0" w:color="auto"/>
            </w:tcBorders>
            <w:vAlign w:val="center"/>
          </w:tcPr>
          <w:p w14:paraId="72899B3A"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2.36</w:t>
            </w:r>
          </w:p>
        </w:tc>
        <w:tc>
          <w:tcPr>
            <w:tcW w:w="397" w:type="pct"/>
            <w:tcBorders>
              <w:top w:val="single" w:sz="4" w:space="0" w:color="auto"/>
              <w:bottom w:val="single" w:sz="4" w:space="0" w:color="auto"/>
            </w:tcBorders>
            <w:vAlign w:val="center"/>
          </w:tcPr>
          <w:p w14:paraId="2414E3E0"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1.24</w:t>
            </w:r>
          </w:p>
        </w:tc>
        <w:tc>
          <w:tcPr>
            <w:tcW w:w="386" w:type="pct"/>
            <w:tcBorders>
              <w:top w:val="single" w:sz="4" w:space="0" w:color="auto"/>
              <w:bottom w:val="single" w:sz="4" w:space="0" w:color="auto"/>
            </w:tcBorders>
            <w:vAlign w:val="center"/>
          </w:tcPr>
          <w:p w14:paraId="5076E01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3.41</w:t>
            </w:r>
          </w:p>
        </w:tc>
        <w:tc>
          <w:tcPr>
            <w:tcW w:w="392" w:type="pct"/>
            <w:tcBorders>
              <w:top w:val="single" w:sz="4" w:space="0" w:color="auto"/>
              <w:bottom w:val="single" w:sz="4" w:space="0" w:color="auto"/>
            </w:tcBorders>
            <w:vAlign w:val="center"/>
          </w:tcPr>
          <w:p w14:paraId="7B80AD45"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7.01</w:t>
            </w:r>
          </w:p>
        </w:tc>
        <w:tc>
          <w:tcPr>
            <w:tcW w:w="85" w:type="pct"/>
            <w:tcBorders>
              <w:top w:val="single" w:sz="4" w:space="0" w:color="auto"/>
              <w:bottom w:val="single" w:sz="4" w:space="0" w:color="auto"/>
            </w:tcBorders>
          </w:tcPr>
          <w:p w14:paraId="1284301F" w14:textId="77777777" w:rsidR="00CA6589" w:rsidRPr="00EB4418" w:rsidRDefault="00CA6589" w:rsidP="000656C9">
            <w:pPr>
              <w:pStyle w:val="TablesandFigures"/>
              <w:spacing w:after="0" w:line="276" w:lineRule="auto"/>
              <w:jc w:val="center"/>
              <w:rPr>
                <w:rFonts w:eastAsia="Times New Roman"/>
                <w:b w:val="0"/>
                <w:color w:val="auto"/>
                <w:sz w:val="24"/>
                <w:szCs w:val="24"/>
              </w:rPr>
            </w:pPr>
          </w:p>
        </w:tc>
        <w:tc>
          <w:tcPr>
            <w:tcW w:w="510" w:type="pct"/>
            <w:tcBorders>
              <w:top w:val="single" w:sz="4" w:space="0" w:color="auto"/>
              <w:bottom w:val="single" w:sz="4" w:space="0" w:color="auto"/>
            </w:tcBorders>
            <w:vAlign w:val="center"/>
          </w:tcPr>
          <w:p w14:paraId="7436D912"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0.07</w:t>
            </w:r>
          </w:p>
        </w:tc>
        <w:tc>
          <w:tcPr>
            <w:tcW w:w="397" w:type="pct"/>
            <w:tcBorders>
              <w:top w:val="single" w:sz="4" w:space="0" w:color="auto"/>
              <w:bottom w:val="single" w:sz="4" w:space="0" w:color="auto"/>
            </w:tcBorders>
            <w:vAlign w:val="center"/>
          </w:tcPr>
          <w:p w14:paraId="77327023"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0.01</w:t>
            </w:r>
          </w:p>
        </w:tc>
        <w:tc>
          <w:tcPr>
            <w:tcW w:w="386" w:type="pct"/>
            <w:tcBorders>
              <w:top w:val="single" w:sz="4" w:space="0" w:color="auto"/>
              <w:bottom w:val="single" w:sz="4" w:space="0" w:color="auto"/>
            </w:tcBorders>
            <w:vAlign w:val="center"/>
          </w:tcPr>
          <w:p w14:paraId="6504DE6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0.06</w:t>
            </w:r>
          </w:p>
        </w:tc>
        <w:tc>
          <w:tcPr>
            <w:tcW w:w="392" w:type="pct"/>
            <w:tcBorders>
              <w:top w:val="single" w:sz="4" w:space="0" w:color="auto"/>
              <w:bottom w:val="single" w:sz="4" w:space="0" w:color="auto"/>
            </w:tcBorders>
            <w:vAlign w:val="center"/>
          </w:tcPr>
          <w:p w14:paraId="06D61B93"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0.14</w:t>
            </w:r>
          </w:p>
        </w:tc>
        <w:tc>
          <w:tcPr>
            <w:tcW w:w="544" w:type="pct"/>
            <w:tcBorders>
              <w:top w:val="single" w:sz="4" w:space="0" w:color="auto"/>
              <w:bottom w:val="single" w:sz="4" w:space="0" w:color="auto"/>
            </w:tcBorders>
            <w:vAlign w:val="center"/>
          </w:tcPr>
          <w:p w14:paraId="5EEC824F"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-2.55</w:t>
            </w:r>
          </w:p>
        </w:tc>
      </w:tr>
      <w:tr w:rsidR="00CA6589" w14:paraId="169762C8" w14:textId="77777777" w:rsidTr="00CA6589">
        <w:tc>
          <w:tcPr>
            <w:tcW w:w="492" w:type="pct"/>
            <w:tcBorders>
              <w:top w:val="single" w:sz="4" w:space="0" w:color="auto"/>
              <w:bottom w:val="single" w:sz="4" w:space="0" w:color="auto"/>
            </w:tcBorders>
          </w:tcPr>
          <w:p w14:paraId="416F2494" w14:textId="77777777" w:rsidR="00CA6589" w:rsidRDefault="00CA6589" w:rsidP="000656C9">
            <w:pPr>
              <w:pStyle w:val="TablesandFigures"/>
              <w:spacing w:after="0" w:line="276" w:lineRule="auto"/>
              <w:jc w:val="left"/>
              <w:rPr>
                <w:rFonts w:eastAsia="Times New Roman"/>
                <w:color w:val="auto"/>
                <w:sz w:val="24"/>
                <w:szCs w:val="24"/>
              </w:rPr>
            </w:pPr>
            <w:r w:rsidRPr="00EB4418">
              <w:rPr>
                <w:rFonts w:eastAsia="Times New Roman"/>
                <w:color w:val="auto"/>
                <w:sz w:val="24"/>
                <w:szCs w:val="24"/>
              </w:rPr>
              <w:t>CO</w:t>
            </w:r>
            <w:r w:rsidRPr="00EB4418">
              <w:rPr>
                <w:rFonts w:eastAsia="Times New Roman"/>
                <w:color w:val="auto"/>
                <w:sz w:val="24"/>
                <w:szCs w:val="24"/>
                <w:vertAlign w:val="subscript"/>
              </w:rPr>
              <w:t>2</w:t>
            </w:r>
            <w:r w:rsidRPr="00EB4418">
              <w:rPr>
                <w:rFonts w:eastAsia="Times New Roman"/>
                <w:color w:val="auto"/>
                <w:sz w:val="24"/>
                <w:szCs w:val="24"/>
              </w:rPr>
              <w:t>-CAP_</w:t>
            </w:r>
          </w:p>
          <w:p w14:paraId="5FDB1083" w14:textId="77777777" w:rsidR="00CA6589" w:rsidRPr="00EB4418" w:rsidRDefault="00CA6589" w:rsidP="000656C9">
            <w:pPr>
              <w:pStyle w:val="TablesandFigures"/>
              <w:spacing w:after="0" w:line="276" w:lineRule="auto"/>
              <w:jc w:val="left"/>
              <w:rPr>
                <w:color w:val="auto"/>
                <w:sz w:val="24"/>
                <w:szCs w:val="24"/>
              </w:rPr>
            </w:pPr>
            <w:r w:rsidRPr="00EB4418">
              <w:rPr>
                <w:rFonts w:eastAsia="Times New Roman"/>
                <w:color w:val="auto"/>
                <w:sz w:val="24"/>
                <w:szCs w:val="24"/>
              </w:rPr>
              <w:t>All</w:t>
            </w:r>
          </w:p>
        </w:tc>
        <w:tc>
          <w:tcPr>
            <w:tcW w:w="509" w:type="pct"/>
            <w:tcBorders>
              <w:top w:val="single" w:sz="4" w:space="0" w:color="auto"/>
              <w:bottom w:val="single" w:sz="4" w:space="0" w:color="auto"/>
            </w:tcBorders>
            <w:vAlign w:val="center"/>
          </w:tcPr>
          <w:p w14:paraId="72156E1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5.4</w:t>
            </w:r>
          </w:p>
        </w:tc>
        <w:tc>
          <w:tcPr>
            <w:tcW w:w="510" w:type="pct"/>
            <w:tcBorders>
              <w:top w:val="single" w:sz="4" w:space="0" w:color="auto"/>
              <w:bottom w:val="single" w:sz="4" w:space="0" w:color="auto"/>
            </w:tcBorders>
            <w:vAlign w:val="center"/>
          </w:tcPr>
          <w:p w14:paraId="3B2E70C1"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7" w:type="pct"/>
            <w:tcBorders>
              <w:top w:val="single" w:sz="4" w:space="0" w:color="auto"/>
              <w:bottom w:val="single" w:sz="4" w:space="0" w:color="auto"/>
            </w:tcBorders>
            <w:vAlign w:val="center"/>
          </w:tcPr>
          <w:p w14:paraId="7FA87FB0"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86" w:type="pct"/>
            <w:tcBorders>
              <w:top w:val="single" w:sz="4" w:space="0" w:color="auto"/>
              <w:bottom w:val="single" w:sz="4" w:space="0" w:color="auto"/>
            </w:tcBorders>
            <w:vAlign w:val="center"/>
          </w:tcPr>
          <w:p w14:paraId="7E37927F"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1.14</w:t>
            </w:r>
          </w:p>
        </w:tc>
        <w:tc>
          <w:tcPr>
            <w:tcW w:w="392" w:type="pct"/>
            <w:tcBorders>
              <w:top w:val="single" w:sz="4" w:space="0" w:color="auto"/>
              <w:bottom w:val="single" w:sz="4" w:space="0" w:color="auto"/>
            </w:tcBorders>
            <w:vAlign w:val="center"/>
          </w:tcPr>
          <w:p w14:paraId="34FC133D"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1.14</w:t>
            </w:r>
          </w:p>
        </w:tc>
        <w:tc>
          <w:tcPr>
            <w:tcW w:w="85" w:type="pct"/>
            <w:tcBorders>
              <w:top w:val="single" w:sz="4" w:space="0" w:color="auto"/>
              <w:bottom w:val="single" w:sz="4" w:space="0" w:color="auto"/>
            </w:tcBorders>
          </w:tcPr>
          <w:p w14:paraId="457AE3CD" w14:textId="77777777" w:rsidR="00CA6589" w:rsidRPr="00EB4418" w:rsidRDefault="00CA6589" w:rsidP="000656C9">
            <w:pPr>
              <w:pStyle w:val="TablesandFigures"/>
              <w:spacing w:after="0" w:line="276" w:lineRule="auto"/>
              <w:jc w:val="center"/>
              <w:rPr>
                <w:rFonts w:eastAsia="Times New Roman"/>
                <w:b w:val="0"/>
                <w:color w:val="auto"/>
                <w:sz w:val="24"/>
                <w:szCs w:val="24"/>
              </w:rPr>
            </w:pPr>
          </w:p>
        </w:tc>
        <w:tc>
          <w:tcPr>
            <w:tcW w:w="510" w:type="pct"/>
            <w:tcBorders>
              <w:top w:val="single" w:sz="4" w:space="0" w:color="auto"/>
              <w:bottom w:val="single" w:sz="4" w:space="0" w:color="auto"/>
            </w:tcBorders>
            <w:vAlign w:val="center"/>
          </w:tcPr>
          <w:p w14:paraId="168204B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7" w:type="pct"/>
            <w:tcBorders>
              <w:top w:val="single" w:sz="4" w:space="0" w:color="auto"/>
              <w:bottom w:val="single" w:sz="4" w:space="0" w:color="auto"/>
            </w:tcBorders>
            <w:vAlign w:val="center"/>
          </w:tcPr>
          <w:p w14:paraId="14FCBBA0"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86" w:type="pct"/>
            <w:tcBorders>
              <w:top w:val="single" w:sz="4" w:space="0" w:color="auto"/>
              <w:bottom w:val="single" w:sz="4" w:space="0" w:color="auto"/>
            </w:tcBorders>
            <w:vAlign w:val="center"/>
          </w:tcPr>
          <w:p w14:paraId="3EB6B15B"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392" w:type="pct"/>
            <w:tcBorders>
              <w:top w:val="single" w:sz="4" w:space="0" w:color="auto"/>
              <w:bottom w:val="single" w:sz="4" w:space="0" w:color="auto"/>
            </w:tcBorders>
            <w:vAlign w:val="center"/>
          </w:tcPr>
          <w:p w14:paraId="01BECDCC"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w:t>
            </w:r>
          </w:p>
        </w:tc>
        <w:tc>
          <w:tcPr>
            <w:tcW w:w="544" w:type="pct"/>
            <w:tcBorders>
              <w:top w:val="single" w:sz="4" w:space="0" w:color="auto"/>
              <w:bottom w:val="single" w:sz="4" w:space="0" w:color="auto"/>
            </w:tcBorders>
            <w:vAlign w:val="center"/>
          </w:tcPr>
          <w:p w14:paraId="0FE9C781"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6.54</w:t>
            </w:r>
          </w:p>
        </w:tc>
      </w:tr>
      <w:tr w:rsidR="00CA6589" w14:paraId="36B3C593" w14:textId="77777777" w:rsidTr="00CA6589">
        <w:tc>
          <w:tcPr>
            <w:tcW w:w="492" w:type="pct"/>
            <w:tcBorders>
              <w:top w:val="single" w:sz="4" w:space="0" w:color="auto"/>
            </w:tcBorders>
          </w:tcPr>
          <w:p w14:paraId="48B53EA4" w14:textId="77777777" w:rsidR="00CA6589" w:rsidRDefault="00CA6589" w:rsidP="000656C9">
            <w:pPr>
              <w:pStyle w:val="TablesandFigures"/>
              <w:spacing w:after="0" w:line="276" w:lineRule="auto"/>
              <w:jc w:val="left"/>
              <w:rPr>
                <w:rFonts w:eastAsia="Times New Roman"/>
                <w:color w:val="auto"/>
                <w:sz w:val="24"/>
                <w:szCs w:val="24"/>
              </w:rPr>
            </w:pPr>
            <w:r w:rsidRPr="00EB4418">
              <w:rPr>
                <w:rFonts w:eastAsia="Times New Roman"/>
                <w:color w:val="auto"/>
                <w:sz w:val="24"/>
                <w:szCs w:val="24"/>
              </w:rPr>
              <w:t>CO</w:t>
            </w:r>
            <w:r w:rsidRPr="00EB4418">
              <w:rPr>
                <w:rFonts w:eastAsia="Times New Roman"/>
                <w:color w:val="auto"/>
                <w:sz w:val="24"/>
                <w:szCs w:val="24"/>
                <w:vertAlign w:val="subscript"/>
              </w:rPr>
              <w:t>2</w:t>
            </w:r>
            <w:r w:rsidRPr="00EB4418">
              <w:rPr>
                <w:rFonts w:eastAsia="Times New Roman"/>
                <w:color w:val="auto"/>
                <w:sz w:val="24"/>
                <w:szCs w:val="24"/>
              </w:rPr>
              <w:t>-CAP_</w:t>
            </w:r>
          </w:p>
          <w:p w14:paraId="6C30E4F4" w14:textId="77777777" w:rsidR="00CA6589" w:rsidRPr="00EB4418" w:rsidRDefault="00CA6589" w:rsidP="000656C9">
            <w:pPr>
              <w:pStyle w:val="TablesandFigures"/>
              <w:spacing w:after="0" w:line="276" w:lineRule="auto"/>
              <w:jc w:val="left"/>
              <w:rPr>
                <w:rFonts w:eastAsia="Times New Roman"/>
                <w:color w:val="auto"/>
                <w:sz w:val="24"/>
                <w:szCs w:val="24"/>
              </w:rPr>
            </w:pPr>
            <w:proofErr w:type="spellStart"/>
            <w:r w:rsidRPr="00EB4418">
              <w:rPr>
                <w:rFonts w:eastAsia="Times New Roman"/>
                <w:color w:val="auto"/>
                <w:sz w:val="24"/>
                <w:szCs w:val="24"/>
              </w:rPr>
              <w:t>All+EE</w:t>
            </w:r>
            <w:proofErr w:type="spellEnd"/>
          </w:p>
        </w:tc>
        <w:tc>
          <w:tcPr>
            <w:tcW w:w="509" w:type="pct"/>
            <w:tcBorders>
              <w:top w:val="single" w:sz="4" w:space="0" w:color="auto"/>
            </w:tcBorders>
            <w:vAlign w:val="center"/>
          </w:tcPr>
          <w:p w14:paraId="2ACC5A81"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-9.6</w:t>
            </w:r>
          </w:p>
        </w:tc>
        <w:tc>
          <w:tcPr>
            <w:tcW w:w="510" w:type="pct"/>
            <w:tcBorders>
              <w:top w:val="single" w:sz="4" w:space="0" w:color="auto"/>
            </w:tcBorders>
            <w:vAlign w:val="center"/>
          </w:tcPr>
          <w:p w14:paraId="7CB8D60F"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2.38</w:t>
            </w:r>
          </w:p>
        </w:tc>
        <w:tc>
          <w:tcPr>
            <w:tcW w:w="397" w:type="pct"/>
            <w:tcBorders>
              <w:top w:val="single" w:sz="4" w:space="0" w:color="auto"/>
            </w:tcBorders>
            <w:vAlign w:val="center"/>
          </w:tcPr>
          <w:p w14:paraId="59F8FD6D"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0.69</w:t>
            </w:r>
          </w:p>
        </w:tc>
        <w:tc>
          <w:tcPr>
            <w:tcW w:w="386" w:type="pct"/>
            <w:tcBorders>
              <w:top w:val="single" w:sz="4" w:space="0" w:color="auto"/>
            </w:tcBorders>
            <w:vAlign w:val="center"/>
          </w:tcPr>
          <w:p w14:paraId="401F21BA"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3.44</w:t>
            </w:r>
          </w:p>
        </w:tc>
        <w:tc>
          <w:tcPr>
            <w:tcW w:w="392" w:type="pct"/>
            <w:tcBorders>
              <w:top w:val="single" w:sz="4" w:space="0" w:color="auto"/>
            </w:tcBorders>
            <w:vAlign w:val="center"/>
          </w:tcPr>
          <w:p w14:paraId="055DC254"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6.51</w:t>
            </w:r>
          </w:p>
        </w:tc>
        <w:tc>
          <w:tcPr>
            <w:tcW w:w="85" w:type="pct"/>
            <w:tcBorders>
              <w:top w:val="single" w:sz="4" w:space="0" w:color="auto"/>
            </w:tcBorders>
          </w:tcPr>
          <w:p w14:paraId="78F4B740" w14:textId="77777777" w:rsidR="00CA6589" w:rsidRPr="00EB4418" w:rsidRDefault="00CA6589" w:rsidP="000656C9">
            <w:pPr>
              <w:pStyle w:val="TablesandFigures"/>
              <w:spacing w:after="0" w:line="276" w:lineRule="auto"/>
              <w:jc w:val="center"/>
              <w:rPr>
                <w:rFonts w:eastAsia="Times New Roman"/>
                <w:b w:val="0"/>
                <w:color w:val="auto"/>
                <w:sz w:val="24"/>
                <w:szCs w:val="24"/>
              </w:rPr>
            </w:pPr>
          </w:p>
        </w:tc>
        <w:tc>
          <w:tcPr>
            <w:tcW w:w="510" w:type="pct"/>
            <w:tcBorders>
              <w:top w:val="single" w:sz="4" w:space="0" w:color="auto"/>
            </w:tcBorders>
            <w:vAlign w:val="center"/>
          </w:tcPr>
          <w:p w14:paraId="5F270EEE"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0.07</w:t>
            </w:r>
          </w:p>
        </w:tc>
        <w:tc>
          <w:tcPr>
            <w:tcW w:w="397" w:type="pct"/>
            <w:tcBorders>
              <w:top w:val="single" w:sz="4" w:space="0" w:color="auto"/>
            </w:tcBorders>
            <w:vAlign w:val="center"/>
          </w:tcPr>
          <w:p w14:paraId="7874A3E3"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0.01</w:t>
            </w:r>
          </w:p>
        </w:tc>
        <w:tc>
          <w:tcPr>
            <w:tcW w:w="386" w:type="pct"/>
            <w:tcBorders>
              <w:top w:val="single" w:sz="4" w:space="0" w:color="auto"/>
            </w:tcBorders>
            <w:vAlign w:val="center"/>
          </w:tcPr>
          <w:p w14:paraId="2DC03D18"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0.06</w:t>
            </w:r>
          </w:p>
        </w:tc>
        <w:tc>
          <w:tcPr>
            <w:tcW w:w="392" w:type="pct"/>
            <w:tcBorders>
              <w:top w:val="single" w:sz="4" w:space="0" w:color="auto"/>
            </w:tcBorders>
            <w:vAlign w:val="center"/>
          </w:tcPr>
          <w:p w14:paraId="42F47E7C"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0.14</w:t>
            </w:r>
          </w:p>
        </w:tc>
        <w:tc>
          <w:tcPr>
            <w:tcW w:w="544" w:type="pct"/>
            <w:tcBorders>
              <w:top w:val="single" w:sz="4" w:space="0" w:color="auto"/>
            </w:tcBorders>
            <w:vAlign w:val="center"/>
          </w:tcPr>
          <w:p w14:paraId="38A540CD" w14:textId="77777777" w:rsidR="00CA6589" w:rsidRPr="00EB4418" w:rsidRDefault="00CA6589" w:rsidP="000656C9">
            <w:pPr>
              <w:pStyle w:val="TablesandFigures"/>
              <w:spacing w:after="0" w:line="276" w:lineRule="auto"/>
              <w:jc w:val="center"/>
              <w:rPr>
                <w:b w:val="0"/>
                <w:color w:val="auto"/>
                <w:sz w:val="24"/>
                <w:szCs w:val="24"/>
              </w:rPr>
            </w:pPr>
            <w:r w:rsidRPr="00EB4418">
              <w:rPr>
                <w:rFonts w:eastAsia="Times New Roman"/>
                <w:b w:val="0"/>
                <w:color w:val="auto"/>
                <w:sz w:val="24"/>
                <w:szCs w:val="24"/>
              </w:rPr>
              <w:t>-2.95</w:t>
            </w:r>
          </w:p>
        </w:tc>
      </w:tr>
    </w:tbl>
    <w:p w14:paraId="29AF6EB9" w14:textId="77777777" w:rsidR="00CA6589" w:rsidRPr="00753072" w:rsidRDefault="00CA6589" w:rsidP="000656C9">
      <w:pPr>
        <w:pStyle w:val="TablesandFigures"/>
        <w:spacing w:after="0" w:line="276" w:lineRule="auto"/>
        <w:rPr>
          <w:color w:val="auto"/>
          <w:sz w:val="24"/>
          <w:szCs w:val="24"/>
        </w:rPr>
      </w:pPr>
    </w:p>
    <w:p w14:paraId="4A376C46" w14:textId="77777777" w:rsidR="00CA6589" w:rsidRDefault="00CA6589" w:rsidP="000656C9">
      <w:pPr>
        <w:pStyle w:val="Footnote"/>
        <w:spacing w:line="276" w:lineRule="auto"/>
        <w:rPr>
          <w:sz w:val="24"/>
          <w:szCs w:val="24"/>
        </w:rPr>
        <w:sectPr w:rsidR="00CA6589" w:rsidSect="00CA6589">
          <w:pgSz w:w="15840" w:h="12240" w:orient="landscape"/>
          <w:pgMar w:top="1440" w:right="1440" w:bottom="1440" w:left="1440" w:header="720" w:footer="720" w:gutter="0"/>
          <w:cols w:space="720"/>
          <w:docGrid w:linePitch="360"/>
        </w:sectPr>
      </w:pPr>
      <w:proofErr w:type="gramStart"/>
      <w:r w:rsidRPr="000978F8">
        <w:rPr>
          <w:rFonts w:asciiTheme="minorHAnsi" w:hAnsiTheme="minorHAnsi"/>
          <w:sz w:val="24"/>
          <w:szCs w:val="24"/>
          <w:vertAlign w:val="superscript"/>
        </w:rPr>
        <w:t>a</w:t>
      </w:r>
      <w:proofErr w:type="gramEnd"/>
      <w:r>
        <w:rPr>
          <w:rFonts w:asciiTheme="minorHAnsi" w:hAnsiTheme="minorHAnsi"/>
          <w:sz w:val="24"/>
          <w:szCs w:val="24"/>
        </w:rPr>
        <w:t xml:space="preserve"> </w:t>
      </w:r>
      <w:r w:rsidRPr="00753072">
        <w:rPr>
          <w:rFonts w:asciiTheme="minorHAnsi" w:hAnsiTheme="minorHAnsi"/>
          <w:sz w:val="24"/>
          <w:szCs w:val="24"/>
        </w:rPr>
        <w:t xml:space="preserve">Present value of </w:t>
      </w:r>
      <w:r>
        <w:rPr>
          <w:rFonts w:asciiTheme="minorHAnsi" w:hAnsiTheme="minorHAnsi"/>
          <w:sz w:val="24"/>
          <w:szCs w:val="24"/>
        </w:rPr>
        <w:t>mitigation</w:t>
      </w:r>
      <w:r w:rsidRPr="00753072">
        <w:rPr>
          <w:rFonts w:asciiTheme="minorHAnsi" w:hAnsiTheme="minorHAnsi"/>
          <w:sz w:val="24"/>
          <w:szCs w:val="24"/>
        </w:rPr>
        <w:t xml:space="preserve"> costs are calculated using a 7% discount rate. Incremental energy-efficiency costs are calculated from the detailed outputs from </w:t>
      </w:r>
      <w:r>
        <w:rPr>
          <w:rFonts w:asciiTheme="minorHAnsi" w:hAnsiTheme="minorHAnsi"/>
          <w:sz w:val="24"/>
          <w:szCs w:val="24"/>
        </w:rPr>
        <w:t>GT-</w:t>
      </w:r>
      <w:r w:rsidRPr="00753072">
        <w:rPr>
          <w:rFonts w:asciiTheme="minorHAnsi" w:hAnsiTheme="minorHAnsi"/>
          <w:sz w:val="24"/>
          <w:szCs w:val="24"/>
        </w:rPr>
        <w:t xml:space="preserve">NEMS, supplemented by offline calculations to fill gaps in the industrial sector and to estimate administrative cost using methodologies described in </w:t>
      </w:r>
      <w:r>
        <w:rPr>
          <w:rFonts w:asciiTheme="minorHAnsi" w:hAnsiTheme="minorHAnsi"/>
          <w:sz w:val="24"/>
          <w:szCs w:val="24"/>
        </w:rPr>
        <w:t>the Technical Appendix.</w:t>
      </w:r>
    </w:p>
    <w:p w14:paraId="5C7075A2" w14:textId="522CC010" w:rsidR="00A01235" w:rsidRPr="00C40B08" w:rsidRDefault="0097137F" w:rsidP="000656C9">
      <w:pPr>
        <w:widowControl w:val="0"/>
        <w:autoSpaceDE w:val="0"/>
        <w:autoSpaceDN w:val="0"/>
        <w:adjustRightInd w:val="0"/>
        <w:spacing w:before="100" w:beforeAutospacing="1" w:after="100" w:afterAutospacing="1" w:line="276" w:lineRule="auto"/>
        <w:rPr>
          <w:rFonts w:ascii="Calibri" w:hAnsi="Calibri"/>
        </w:rPr>
      </w:pPr>
      <w:r w:rsidRPr="00C40B08">
        <w:rPr>
          <w:rFonts w:ascii="Calibri" w:hAnsi="Calibri"/>
        </w:rPr>
        <w:lastRenderedPageBreak/>
        <w:t xml:space="preserve">There are </w:t>
      </w:r>
      <w:r w:rsidR="00A647DB" w:rsidRPr="00C40B08">
        <w:rPr>
          <w:rFonts w:ascii="Calibri" w:hAnsi="Calibri"/>
        </w:rPr>
        <w:t>two components of these costs: the incremental e</w:t>
      </w:r>
      <w:r w:rsidRPr="00C40B08">
        <w:rPr>
          <w:rFonts w:ascii="Calibri" w:hAnsi="Calibri"/>
        </w:rPr>
        <w:t xml:space="preserve">nd-user investment costs </w:t>
      </w:r>
      <w:r w:rsidR="00A647DB" w:rsidRPr="00C40B08">
        <w:rPr>
          <w:rFonts w:ascii="Calibri" w:hAnsi="Calibri"/>
        </w:rPr>
        <w:t>that</w:t>
      </w:r>
      <w:r w:rsidR="00AA55E1" w:rsidRPr="00C40B08">
        <w:rPr>
          <w:rFonts w:ascii="Calibri" w:hAnsi="Calibri"/>
        </w:rPr>
        <w:t xml:space="preserve"> purchase</w:t>
      </w:r>
      <w:r w:rsidRPr="00C40B08">
        <w:rPr>
          <w:rFonts w:ascii="Calibri" w:hAnsi="Calibri"/>
        </w:rPr>
        <w:t xml:space="preserve"> the </w:t>
      </w:r>
      <w:r w:rsidRPr="00C40B08">
        <w:rPr>
          <w:rFonts w:ascii="Calibri" w:eastAsia="Helvetica" w:hAnsi="Calibri" w:cs="Helvetica"/>
        </w:rPr>
        <w:t>“energy-efficiency premiu</w:t>
      </w:r>
      <w:r w:rsidRPr="00C40B08">
        <w:rPr>
          <w:rFonts w:ascii="Calibri" w:hAnsi="Calibri"/>
        </w:rPr>
        <w:t>m</w:t>
      </w:r>
      <w:r w:rsidRPr="00C40B08">
        <w:rPr>
          <w:rFonts w:ascii="Calibri" w:eastAsia="Helvetica" w:hAnsi="Calibri" w:cs="Helvetica"/>
        </w:rPr>
        <w:t xml:space="preserve">” and the administrative cost of implementing the policies needed to motivate these investments. The </w:t>
      </w:r>
      <w:r w:rsidRPr="00C40B08">
        <w:rPr>
          <w:rFonts w:ascii="Calibri" w:hAnsi="Calibri"/>
        </w:rPr>
        <w:t>energy-efficiency premium is the cost of the added increment of energy efficiency</w:t>
      </w:r>
      <w:r w:rsidR="00AA55E1" w:rsidRPr="00C40B08">
        <w:rPr>
          <w:rFonts w:ascii="Calibri" w:hAnsi="Calibri"/>
        </w:rPr>
        <w:t xml:space="preserve"> –</w:t>
      </w:r>
      <w:r w:rsidRPr="00C40B08">
        <w:rPr>
          <w:rFonts w:ascii="Calibri" w:hAnsi="Calibri"/>
        </w:rPr>
        <w:t xml:space="preserve"> the incremental cost of a highly efficient boiler, refrigerator,</w:t>
      </w:r>
      <w:r w:rsidR="00B82549" w:rsidRPr="00C40B08">
        <w:rPr>
          <w:rFonts w:ascii="Calibri" w:hAnsi="Calibri"/>
        </w:rPr>
        <w:t xml:space="preserve"> </w:t>
      </w:r>
      <w:r w:rsidRPr="00C40B08">
        <w:rPr>
          <w:rFonts w:ascii="Calibri" w:hAnsi="Calibri"/>
        </w:rPr>
        <w:t xml:space="preserve">air conditioner, or motor, </w:t>
      </w:r>
      <w:r w:rsidR="00B82549" w:rsidRPr="00C40B08">
        <w:rPr>
          <w:rFonts w:ascii="Calibri" w:hAnsi="Calibri"/>
        </w:rPr>
        <w:t>compared with standard practice (IEA, 2014, p. 33)</w:t>
      </w:r>
      <w:r w:rsidR="00AA55E1" w:rsidRPr="00C40B08">
        <w:rPr>
          <w:rFonts w:ascii="Calibri" w:hAnsi="Calibri"/>
        </w:rPr>
        <w:t>.</w:t>
      </w:r>
      <w:r w:rsidR="003414B0" w:rsidRPr="00C40B08">
        <w:rPr>
          <w:rFonts w:ascii="Calibri" w:hAnsi="Calibri"/>
        </w:rPr>
        <w:t xml:space="preserve"> </w:t>
      </w:r>
      <w:r w:rsidR="00646A12" w:rsidRPr="00C40B08">
        <w:rPr>
          <w:rFonts w:ascii="Calibri" w:hAnsi="Calibri"/>
        </w:rPr>
        <w:t xml:space="preserve">In 2030, these range from $1.1 </w:t>
      </w:r>
      <w:r w:rsidR="00B841E4" w:rsidRPr="00C40B08">
        <w:rPr>
          <w:rFonts w:ascii="Calibri" w:hAnsi="Calibri"/>
        </w:rPr>
        <w:t xml:space="preserve">billion </w:t>
      </w:r>
      <w:r w:rsidR="00646A12" w:rsidRPr="00C40B08">
        <w:rPr>
          <w:rFonts w:ascii="Calibri" w:hAnsi="Calibri"/>
        </w:rPr>
        <w:t xml:space="preserve">in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646A12" w:rsidRPr="00C40B08">
        <w:rPr>
          <w:rFonts w:ascii="Calibri" w:hAnsi="Calibri"/>
        </w:rPr>
        <w:t xml:space="preserve">-All </w:t>
      </w:r>
      <w:r w:rsidR="00B841E4" w:rsidRPr="00C40B08">
        <w:rPr>
          <w:rFonts w:ascii="Calibri" w:hAnsi="Calibri"/>
        </w:rPr>
        <w:t xml:space="preserve">(in addition to the $2.4 billion estimated to be spent on the energy-efficiency programs administered by utilities) </w:t>
      </w:r>
      <w:r w:rsidR="00646A12" w:rsidRPr="00C40B08">
        <w:rPr>
          <w:rFonts w:ascii="Calibri" w:hAnsi="Calibri"/>
        </w:rPr>
        <w:t>to $</w:t>
      </w:r>
      <w:r w:rsidR="004F79FE" w:rsidRPr="00C40B08">
        <w:rPr>
          <w:rFonts w:ascii="Calibri" w:hAnsi="Calibri"/>
        </w:rPr>
        <w:t>7.0</w:t>
      </w:r>
      <w:r w:rsidR="00646A12" w:rsidRPr="00C40B08">
        <w:rPr>
          <w:rFonts w:ascii="Calibri" w:hAnsi="Calibri"/>
        </w:rPr>
        <w:t xml:space="preserve"> billion in the </w:t>
      </w:r>
      <w:r w:rsidR="00EB528E" w:rsidRPr="00C40B08">
        <w:rPr>
          <w:rFonts w:ascii="Calibri" w:hAnsi="Calibri"/>
        </w:rPr>
        <w:t>CO</w:t>
      </w:r>
      <w:r w:rsidR="00EB528E" w:rsidRPr="00C40B08">
        <w:rPr>
          <w:rFonts w:ascii="Calibri" w:hAnsi="Calibri"/>
          <w:vertAlign w:val="subscript"/>
        </w:rPr>
        <w:t>2</w:t>
      </w:r>
      <w:r w:rsidR="00EB528E" w:rsidRPr="00C40B08">
        <w:rPr>
          <w:rFonts w:ascii="Calibri" w:hAnsi="Calibri"/>
        </w:rPr>
        <w:t>-Cap</w:t>
      </w:r>
      <w:r w:rsidR="00646A12" w:rsidRPr="00C40B08">
        <w:rPr>
          <w:rFonts w:ascii="Calibri" w:hAnsi="Calibri"/>
        </w:rPr>
        <w:t>-</w:t>
      </w:r>
      <w:r w:rsidR="004F79FE" w:rsidRPr="00C40B08">
        <w:rPr>
          <w:rFonts w:ascii="Calibri" w:hAnsi="Calibri"/>
        </w:rPr>
        <w:t>Existing</w:t>
      </w:r>
      <w:r w:rsidR="00646A12" w:rsidRPr="00C40B08">
        <w:rPr>
          <w:rFonts w:ascii="Calibri" w:hAnsi="Calibri"/>
        </w:rPr>
        <w:t>+EE scenario</w:t>
      </w:r>
      <w:r w:rsidR="00B841E4" w:rsidRPr="00C40B08">
        <w:rPr>
          <w:rFonts w:ascii="Calibri" w:hAnsi="Calibri"/>
        </w:rPr>
        <w:t xml:space="preserve"> that displaces the utility programs</w:t>
      </w:r>
      <w:r w:rsidR="00646A12" w:rsidRPr="00C40B08">
        <w:rPr>
          <w:rFonts w:ascii="Calibri" w:hAnsi="Calibri"/>
        </w:rPr>
        <w:t xml:space="preserve">. The costs </w:t>
      </w:r>
      <w:r w:rsidR="004F79FE" w:rsidRPr="00C40B08">
        <w:rPr>
          <w:rFonts w:ascii="Calibri" w:hAnsi="Calibri"/>
        </w:rPr>
        <w:t xml:space="preserve">for administering the strong energy-efficiency policies are estimated to be </w:t>
      </w:r>
      <w:r w:rsidR="00646A12" w:rsidRPr="00C40B08">
        <w:rPr>
          <w:rFonts w:ascii="Calibri" w:hAnsi="Calibri"/>
        </w:rPr>
        <w:t xml:space="preserve">$140 million. Thus, in addition to overall cost reductions with the introduction of strong energy-efficiency policies, there is a shift of </w:t>
      </w:r>
      <w:r w:rsidR="00B841E4" w:rsidRPr="00C40B08">
        <w:rPr>
          <w:rFonts w:ascii="Calibri" w:hAnsi="Calibri"/>
        </w:rPr>
        <w:t>cost from rate-based utility programs paid for by all ratepayers through higher energy prices, to investments by households, businesses, and industry that purchase more efficient equipment and upgrade their buildings and structures.</w:t>
      </w:r>
    </w:p>
    <w:p w14:paraId="4E7DBB76" w14:textId="05A1A552" w:rsidR="00690911" w:rsidRPr="00C40B08" w:rsidRDefault="0085240C" w:rsidP="000656C9">
      <w:pPr>
        <w:pStyle w:val="ListParagraph"/>
        <w:numPr>
          <w:ilvl w:val="1"/>
          <w:numId w:val="4"/>
        </w:numPr>
        <w:spacing w:line="276" w:lineRule="auto"/>
        <w:outlineLvl w:val="1"/>
        <w:rPr>
          <w:rFonts w:ascii="Calibri" w:hAnsi="Calibri"/>
          <w:b/>
          <w:i/>
          <w:sz w:val="24"/>
          <w:szCs w:val="24"/>
        </w:rPr>
      </w:pPr>
      <w:r w:rsidRPr="00C40B08">
        <w:rPr>
          <w:rFonts w:ascii="Calibri" w:hAnsi="Calibri"/>
          <w:b/>
          <w:i/>
          <w:sz w:val="24"/>
          <w:szCs w:val="24"/>
        </w:rPr>
        <w:t xml:space="preserve">Reduced </w:t>
      </w:r>
      <w:r w:rsidR="00F52DE2" w:rsidRPr="00C40B08">
        <w:rPr>
          <w:rFonts w:ascii="Calibri" w:hAnsi="Calibri"/>
          <w:b/>
          <w:i/>
          <w:sz w:val="24"/>
          <w:szCs w:val="24"/>
        </w:rPr>
        <w:t>Investment in</w:t>
      </w:r>
      <w:r w:rsidRPr="00C40B08">
        <w:rPr>
          <w:rFonts w:ascii="Calibri" w:hAnsi="Calibri"/>
          <w:b/>
          <w:i/>
          <w:sz w:val="24"/>
          <w:szCs w:val="24"/>
        </w:rPr>
        <w:t xml:space="preserve"> New Natural Gas Plants</w:t>
      </w:r>
    </w:p>
    <w:p w14:paraId="1D97ADF5" w14:textId="227E1310" w:rsidR="005B0848" w:rsidRPr="00C40B08" w:rsidRDefault="00F52DE2" w:rsidP="000656C9">
      <w:pPr>
        <w:spacing w:before="100" w:beforeAutospacing="1" w:after="100" w:afterAutospacing="1" w:line="276" w:lineRule="auto"/>
        <w:rPr>
          <w:rFonts w:ascii="Calibri" w:hAnsi="Calibri"/>
        </w:rPr>
      </w:pPr>
      <w:r w:rsidRPr="00C40B08">
        <w:rPr>
          <w:rFonts w:ascii="Calibri" w:hAnsi="Calibri"/>
        </w:rPr>
        <w:t xml:space="preserve">In </w:t>
      </w:r>
      <w:r w:rsidR="008166D0" w:rsidRPr="00C40B08">
        <w:rPr>
          <w:rFonts w:ascii="Calibri" w:hAnsi="Calibri"/>
        </w:rPr>
        <w:t>the</w:t>
      </w:r>
      <w:r w:rsidR="00690911" w:rsidRPr="00C40B08">
        <w:rPr>
          <w:rFonts w:ascii="Calibri" w:hAnsi="Calibri"/>
        </w:rPr>
        <w:t xml:space="preserve"> </w:t>
      </w:r>
      <w:r w:rsidR="00EB528E" w:rsidRPr="00C40B08">
        <w:rPr>
          <w:rFonts w:ascii="Calibri" w:hAnsi="Calibri"/>
        </w:rPr>
        <w:t xml:space="preserve">carbon reduction </w:t>
      </w:r>
      <w:r w:rsidR="00690911" w:rsidRPr="00C40B08">
        <w:rPr>
          <w:rFonts w:ascii="Calibri" w:hAnsi="Calibri"/>
        </w:rPr>
        <w:t>strategies</w:t>
      </w:r>
      <w:r w:rsidR="008166D0" w:rsidRPr="00C40B08">
        <w:rPr>
          <w:rFonts w:ascii="Calibri" w:hAnsi="Calibri"/>
        </w:rPr>
        <w:t xml:space="preserve"> that do not include enhanced energy efficiency</w:t>
      </w:r>
      <w:r w:rsidR="00690911" w:rsidRPr="00C40B08">
        <w:rPr>
          <w:rFonts w:ascii="Calibri" w:hAnsi="Calibri"/>
        </w:rPr>
        <w:t xml:space="preserve">, natural gas generation </w:t>
      </w:r>
      <w:r w:rsidR="008166D0" w:rsidRPr="00C40B08">
        <w:rPr>
          <w:rFonts w:ascii="Calibri" w:hAnsi="Calibri"/>
        </w:rPr>
        <w:t>expands quickly and more rapidly than in the Reference case</w:t>
      </w:r>
      <w:r w:rsidR="00690911" w:rsidRPr="00C40B08">
        <w:rPr>
          <w:rFonts w:ascii="Calibri" w:hAnsi="Calibri"/>
        </w:rPr>
        <w:t>, starting before the compliance period as utilities foresee the need to achieve carbon goals by 2025, and growing rapidly through the compliance period, meeting an increasing portion of U.S. electricity demand</w:t>
      </w:r>
      <w:r w:rsidRPr="00C40B08">
        <w:rPr>
          <w:rFonts w:ascii="Calibri" w:hAnsi="Calibri"/>
        </w:rPr>
        <w:t xml:space="preserve"> (Figure </w:t>
      </w:r>
      <w:r w:rsidR="00EB528E" w:rsidRPr="00C40B08">
        <w:rPr>
          <w:rFonts w:ascii="Calibri" w:hAnsi="Calibri"/>
        </w:rPr>
        <w:t>3</w:t>
      </w:r>
      <w:r w:rsidRPr="00C40B08">
        <w:rPr>
          <w:rFonts w:ascii="Calibri" w:hAnsi="Calibri"/>
        </w:rPr>
        <w:t>)</w:t>
      </w:r>
      <w:r w:rsidR="00690911" w:rsidRPr="00C40B08">
        <w:rPr>
          <w:rFonts w:ascii="Calibri" w:hAnsi="Calibri"/>
        </w:rPr>
        <w:t xml:space="preserve">. </w:t>
      </w:r>
      <w:r w:rsidR="008166D0" w:rsidRPr="00C40B08">
        <w:rPr>
          <w:rFonts w:ascii="Calibri" w:hAnsi="Calibri"/>
        </w:rPr>
        <w:t>Generation from natural gas units, the capacity of natural gas units, and natural gas prices to the power sector all increase. These effects are significantly tempered in the scenarios with strong</w:t>
      </w:r>
      <w:r w:rsidR="009936AF" w:rsidRPr="00C40B08">
        <w:rPr>
          <w:rFonts w:ascii="Calibri" w:hAnsi="Calibri"/>
        </w:rPr>
        <w:t xml:space="preserve"> energy-</w:t>
      </w:r>
      <w:r w:rsidR="008166D0" w:rsidRPr="00C40B08">
        <w:rPr>
          <w:rFonts w:ascii="Calibri" w:hAnsi="Calibri"/>
        </w:rPr>
        <w:t xml:space="preserve">efficiency policies. </w:t>
      </w:r>
    </w:p>
    <w:p w14:paraId="3D3D021F" w14:textId="02FB73C2" w:rsidR="005B0848" w:rsidRDefault="00B8045C"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 xml:space="preserve">Figure </w:t>
      </w:r>
      <w:r w:rsidR="00EB528E" w:rsidRPr="00C40B08">
        <w:rPr>
          <w:rFonts w:ascii="Calibri" w:hAnsi="Calibri"/>
          <w:color w:val="auto"/>
          <w:sz w:val="24"/>
          <w:szCs w:val="24"/>
        </w:rPr>
        <w:t>3</w:t>
      </w:r>
      <w:r w:rsidRPr="00C40B08">
        <w:rPr>
          <w:rFonts w:ascii="Calibri" w:hAnsi="Calibri"/>
          <w:color w:val="auto"/>
          <w:sz w:val="24"/>
          <w:szCs w:val="24"/>
        </w:rPr>
        <w:t>. Electricity Generation from Natural Gas</w:t>
      </w:r>
    </w:p>
    <w:p w14:paraId="0C6BDD77" w14:textId="5D89D4FC" w:rsidR="00CA6589" w:rsidRPr="00C40B08" w:rsidRDefault="00CA6589" w:rsidP="000656C9">
      <w:pPr>
        <w:pStyle w:val="TablesandFigures"/>
        <w:spacing w:line="276" w:lineRule="auto"/>
        <w:jc w:val="center"/>
        <w:rPr>
          <w:rFonts w:ascii="Calibri" w:hAnsi="Calibri"/>
          <w:color w:val="auto"/>
          <w:sz w:val="24"/>
          <w:szCs w:val="24"/>
        </w:rPr>
      </w:pPr>
      <w:r>
        <w:rPr>
          <w:b w:val="0"/>
          <w:noProof/>
          <w:color w:val="auto"/>
          <w:sz w:val="24"/>
          <w:szCs w:val="24"/>
        </w:rPr>
        <w:drawing>
          <wp:inline distT="0" distB="0" distL="0" distR="0" wp14:anchorId="0BBCBC24" wp14:editId="628A5677">
            <wp:extent cx="4923143" cy="354330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png"/>
                    <pic:cNvPicPr/>
                  </pic:nvPicPr>
                  <pic:blipFill>
                    <a:blip r:embed="rId15">
                      <a:extLst>
                        <a:ext uri="{28A0092B-C50C-407E-A947-70E740481C1C}">
                          <a14:useLocalDpi xmlns:a14="http://schemas.microsoft.com/office/drawing/2010/main" val="0"/>
                        </a:ext>
                      </a:extLst>
                    </a:blip>
                    <a:stretch>
                      <a:fillRect/>
                    </a:stretch>
                  </pic:blipFill>
                  <pic:spPr>
                    <a:xfrm>
                      <a:off x="0" y="0"/>
                      <a:ext cx="4923472" cy="3543537"/>
                    </a:xfrm>
                    <a:prstGeom prst="rect">
                      <a:avLst/>
                    </a:prstGeom>
                  </pic:spPr>
                </pic:pic>
              </a:graphicData>
            </a:graphic>
          </wp:inline>
        </w:drawing>
      </w:r>
    </w:p>
    <w:p w14:paraId="1EAFEEAA" w14:textId="27DA19B8" w:rsidR="005B0848" w:rsidRPr="00C40B08" w:rsidRDefault="005B0848" w:rsidP="000656C9">
      <w:pPr>
        <w:spacing w:before="100" w:beforeAutospacing="1" w:after="100" w:afterAutospacing="1" w:line="276" w:lineRule="auto"/>
        <w:rPr>
          <w:rFonts w:ascii="Calibri" w:hAnsi="Calibri"/>
        </w:rPr>
      </w:pPr>
      <w:r w:rsidRPr="00C40B08">
        <w:rPr>
          <w:rFonts w:ascii="Calibri" w:hAnsi="Calibri"/>
        </w:rPr>
        <w:t xml:space="preserve">The </w:t>
      </w:r>
      <w:r w:rsidR="00136071" w:rsidRPr="00C40B08">
        <w:rPr>
          <w:rFonts w:ascii="Calibri" w:hAnsi="Calibri"/>
        </w:rPr>
        <w:t>mitigation</w:t>
      </w:r>
      <w:r w:rsidRPr="00C40B08">
        <w:rPr>
          <w:rFonts w:ascii="Calibri" w:hAnsi="Calibri"/>
        </w:rPr>
        <w:t xml:space="preserve"> scenarios generally favor </w:t>
      </w:r>
      <w:r w:rsidR="00492E3A" w:rsidRPr="00C40B08">
        <w:rPr>
          <w:rFonts w:ascii="Calibri" w:hAnsi="Calibri"/>
        </w:rPr>
        <w:t>NGCC new builds</w:t>
      </w:r>
      <w:r w:rsidRPr="00C40B08">
        <w:rPr>
          <w:rFonts w:ascii="Calibri" w:hAnsi="Calibri"/>
        </w:rPr>
        <w:t xml:space="preserve"> (particularly in the absence of energy efficiency), since these are the most efficient and carbon-lean of the natural gas generation systems with the exception of natural gas cogeneration. </w:t>
      </w:r>
      <w:r w:rsidR="00961F4C" w:rsidRPr="00C40B08">
        <w:rPr>
          <w:rFonts w:ascii="Calibri" w:hAnsi="Calibri"/>
        </w:rPr>
        <w:t xml:space="preserve">Without the inclusion of strong energy efficiency, the </w:t>
      </w:r>
      <w:r w:rsidR="00136071" w:rsidRPr="00C40B08">
        <w:rPr>
          <w:rFonts w:ascii="Calibri" w:hAnsi="Calibri"/>
        </w:rPr>
        <w:t xml:space="preserve">mitigation </w:t>
      </w:r>
      <w:r w:rsidR="00961F4C" w:rsidRPr="00C40B08">
        <w:rPr>
          <w:rFonts w:ascii="Calibri" w:hAnsi="Calibri"/>
        </w:rPr>
        <w:t>scenarios</w:t>
      </w:r>
      <w:r w:rsidRPr="00C40B08">
        <w:rPr>
          <w:rFonts w:ascii="Calibri" w:hAnsi="Calibri"/>
        </w:rPr>
        <w:t xml:space="preserve"> als</w:t>
      </w:r>
      <w:r w:rsidR="007647FA" w:rsidRPr="00C40B08">
        <w:rPr>
          <w:rFonts w:ascii="Calibri" w:hAnsi="Calibri"/>
        </w:rPr>
        <w:t xml:space="preserve">o grow the nation’s fleet of </w:t>
      </w:r>
      <w:r w:rsidRPr="00C40B08">
        <w:rPr>
          <w:rFonts w:ascii="Calibri" w:hAnsi="Calibri"/>
        </w:rPr>
        <w:t>combustion turbines and diesel generators despite the fact that</w:t>
      </w:r>
      <w:r w:rsidR="00776474" w:rsidRPr="00C40B08">
        <w:rPr>
          <w:rFonts w:ascii="Calibri" w:hAnsi="Calibri"/>
        </w:rPr>
        <w:t xml:space="preserve"> this equipment</w:t>
      </w:r>
      <w:r w:rsidRPr="00C40B08">
        <w:rPr>
          <w:rFonts w:ascii="Calibri" w:hAnsi="Calibri"/>
        </w:rPr>
        <w:t xml:space="preserve"> </w:t>
      </w:r>
      <w:r w:rsidR="00776474" w:rsidRPr="00C40B08">
        <w:rPr>
          <w:rFonts w:ascii="Calibri" w:hAnsi="Calibri"/>
        </w:rPr>
        <w:t>is</w:t>
      </w:r>
      <w:r w:rsidRPr="00C40B08">
        <w:rPr>
          <w:rFonts w:ascii="Calibri" w:hAnsi="Calibri"/>
        </w:rPr>
        <w:t xml:space="preserve"> </w:t>
      </w:r>
      <w:r w:rsidR="00492E3A" w:rsidRPr="00C40B08">
        <w:rPr>
          <w:rFonts w:ascii="Calibri" w:hAnsi="Calibri"/>
        </w:rPr>
        <w:t>relatively</w:t>
      </w:r>
      <w:r w:rsidRPr="00C40B08">
        <w:rPr>
          <w:rFonts w:ascii="Calibri" w:hAnsi="Calibri"/>
        </w:rPr>
        <w:t xml:space="preserve"> inefficient. All </w:t>
      </w:r>
      <w:r w:rsidR="008166D0" w:rsidRPr="00C40B08">
        <w:rPr>
          <w:rFonts w:ascii="Calibri" w:hAnsi="Calibri"/>
        </w:rPr>
        <w:t xml:space="preserve">four </w:t>
      </w:r>
      <w:r w:rsidR="00136071" w:rsidRPr="00C40B08">
        <w:rPr>
          <w:rFonts w:ascii="Calibri" w:hAnsi="Calibri"/>
        </w:rPr>
        <w:t xml:space="preserve">mitigation </w:t>
      </w:r>
      <w:r w:rsidRPr="00C40B08">
        <w:rPr>
          <w:rFonts w:ascii="Calibri" w:hAnsi="Calibri"/>
        </w:rPr>
        <w:t xml:space="preserve">scenarios accelerate the </w:t>
      </w:r>
      <w:r w:rsidR="00776474" w:rsidRPr="00C40B08">
        <w:rPr>
          <w:rFonts w:ascii="Calibri" w:hAnsi="Calibri"/>
        </w:rPr>
        <w:t>retirement</w:t>
      </w:r>
      <w:r w:rsidRPr="00C40B08">
        <w:rPr>
          <w:rFonts w:ascii="Calibri" w:hAnsi="Calibri"/>
        </w:rPr>
        <w:t xml:space="preserve"> of oil </w:t>
      </w:r>
      <w:r w:rsidR="007647FA" w:rsidRPr="00C40B08">
        <w:rPr>
          <w:rFonts w:ascii="Calibri" w:hAnsi="Calibri"/>
        </w:rPr>
        <w:t>and natural gas steam generators</w:t>
      </w:r>
      <w:r w:rsidR="00776474" w:rsidRPr="00C40B08">
        <w:rPr>
          <w:rFonts w:ascii="Calibri" w:hAnsi="Calibri"/>
        </w:rPr>
        <w:t>, which tend to be both old and inefficient</w:t>
      </w:r>
      <w:r w:rsidRPr="00C40B08">
        <w:rPr>
          <w:rFonts w:ascii="Calibri" w:hAnsi="Calibri"/>
        </w:rPr>
        <w:t xml:space="preserve">. </w:t>
      </w:r>
      <w:r w:rsidR="00A05D3A" w:rsidRPr="00C40B08">
        <w:rPr>
          <w:rFonts w:ascii="Calibri" w:hAnsi="Calibri"/>
        </w:rPr>
        <w:t>The inclusion of strong energy-efficiency policies also curbs the rush to build more combined cycle natural gas plants. Specifically, compliance with the CPP could produce a 59% increase in the capacity of natural gas combined cycle power plants over the next 25 years. With enhanced energy efficiency, this could be reduced to a 13% increase. Thus, the expense of rapidly constructing natural gas infrastructure is tempered</w:t>
      </w:r>
      <w:r w:rsidR="003F43F1" w:rsidRPr="00C40B08">
        <w:rPr>
          <w:rFonts w:ascii="Calibri" w:hAnsi="Calibri"/>
        </w:rPr>
        <w:t xml:space="preserve"> (Figure 4)</w:t>
      </w:r>
      <w:r w:rsidR="00A05D3A" w:rsidRPr="00C40B08">
        <w:rPr>
          <w:rFonts w:ascii="Calibri" w:hAnsi="Calibri"/>
        </w:rPr>
        <w:t>.</w:t>
      </w:r>
      <w:r w:rsidR="009936AF" w:rsidRPr="00C40B08">
        <w:rPr>
          <w:rFonts w:ascii="Calibri" w:hAnsi="Calibri"/>
        </w:rPr>
        <w:t xml:space="preserve"> The </w:t>
      </w:r>
      <w:r w:rsidR="00136071" w:rsidRPr="00C40B08">
        <w:rPr>
          <w:rFonts w:ascii="Calibri" w:hAnsi="Calibri"/>
        </w:rPr>
        <w:t xml:space="preserve">mitigation </w:t>
      </w:r>
      <w:r w:rsidR="009936AF" w:rsidRPr="00C40B08">
        <w:rPr>
          <w:rFonts w:ascii="Calibri" w:hAnsi="Calibri"/>
        </w:rPr>
        <w:t>scenarios with strong energy-efficiency policies also slow the growth of wind and solar.</w:t>
      </w:r>
    </w:p>
    <w:p w14:paraId="441A369A" w14:textId="77777777" w:rsidR="003F43F1" w:rsidRPr="00C40B08" w:rsidRDefault="003F43F1" w:rsidP="000656C9">
      <w:pPr>
        <w:pStyle w:val="TablesandFigures"/>
        <w:spacing w:line="276" w:lineRule="auto"/>
        <w:jc w:val="center"/>
        <w:rPr>
          <w:rFonts w:ascii="Calibri" w:hAnsi="Calibri"/>
          <w:b w:val="0"/>
          <w:color w:val="auto"/>
          <w:sz w:val="24"/>
          <w:szCs w:val="24"/>
        </w:rPr>
      </w:pPr>
      <w:r w:rsidRPr="00C40B08">
        <w:rPr>
          <w:rFonts w:ascii="Calibri" w:hAnsi="Calibri"/>
          <w:color w:val="auto"/>
          <w:sz w:val="24"/>
          <w:szCs w:val="24"/>
        </w:rPr>
        <w:lastRenderedPageBreak/>
        <w:t>Figure 4. Capacity of Natural Gas (and Oil and Diesel) Generators (in GW)</w:t>
      </w:r>
    </w:p>
    <w:p w14:paraId="5BE77C14" w14:textId="63049BF2" w:rsidR="00775307" w:rsidRPr="00C40B08" w:rsidRDefault="00CA6589" w:rsidP="000656C9">
      <w:pPr>
        <w:spacing w:line="276" w:lineRule="auto"/>
        <w:jc w:val="center"/>
        <w:rPr>
          <w:rFonts w:ascii="Calibri" w:hAnsi="Calibri"/>
        </w:rPr>
      </w:pPr>
      <w:r>
        <w:rPr>
          <w:b/>
          <w:noProof/>
        </w:rPr>
        <w:drawing>
          <wp:inline distT="0" distB="0" distL="0" distR="0" wp14:anchorId="42DF6D47" wp14:editId="5C83A2D9">
            <wp:extent cx="5943600" cy="352933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1.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529330"/>
                    </a:xfrm>
                    <a:prstGeom prst="rect">
                      <a:avLst/>
                    </a:prstGeom>
                  </pic:spPr>
                </pic:pic>
              </a:graphicData>
            </a:graphic>
          </wp:inline>
        </w:drawing>
      </w:r>
    </w:p>
    <w:p w14:paraId="370BCB77" w14:textId="1EE1D8BD" w:rsidR="003F04FC" w:rsidRDefault="003F04FC" w:rsidP="000656C9">
      <w:pPr>
        <w:spacing w:after="160" w:line="276" w:lineRule="auto"/>
        <w:rPr>
          <w:rFonts w:ascii="Calibri" w:hAnsi="Calibri" w:cstheme="minorBidi"/>
          <w:b/>
          <w:i/>
        </w:rPr>
      </w:pPr>
    </w:p>
    <w:p w14:paraId="53368E23" w14:textId="1416501B" w:rsidR="00E550F1" w:rsidRPr="00C40B08" w:rsidRDefault="00E550F1" w:rsidP="000656C9">
      <w:pPr>
        <w:pStyle w:val="ListParagraph"/>
        <w:numPr>
          <w:ilvl w:val="1"/>
          <w:numId w:val="4"/>
        </w:numPr>
        <w:spacing w:line="276" w:lineRule="auto"/>
        <w:outlineLvl w:val="1"/>
        <w:rPr>
          <w:rFonts w:ascii="Calibri" w:hAnsi="Calibri"/>
          <w:b/>
          <w:i/>
          <w:sz w:val="24"/>
          <w:szCs w:val="24"/>
        </w:rPr>
      </w:pPr>
      <w:r w:rsidRPr="00C40B08">
        <w:rPr>
          <w:rFonts w:ascii="Calibri" w:hAnsi="Calibri"/>
          <w:b/>
          <w:i/>
          <w:sz w:val="24"/>
          <w:szCs w:val="24"/>
        </w:rPr>
        <w:t>Carbon Leakage Mitigation</w:t>
      </w:r>
    </w:p>
    <w:p w14:paraId="77780A78" w14:textId="78B9FBFB" w:rsidR="00E550F1" w:rsidRPr="00C40B08" w:rsidRDefault="00E550F1" w:rsidP="000656C9">
      <w:pPr>
        <w:spacing w:before="100" w:beforeAutospacing="1" w:after="100" w:afterAutospacing="1" w:line="276" w:lineRule="auto"/>
        <w:rPr>
          <w:rFonts w:ascii="Calibri" w:hAnsi="Calibri"/>
        </w:rPr>
      </w:pPr>
      <w:r w:rsidRPr="00C40B08">
        <w:rPr>
          <w:rFonts w:ascii="Calibri" w:hAnsi="Calibri"/>
        </w:rPr>
        <w:t>In the absence of new policies, CO</w:t>
      </w:r>
      <w:r w:rsidRPr="00C40B08">
        <w:rPr>
          <w:rFonts w:ascii="Calibri" w:hAnsi="Calibri"/>
          <w:vertAlign w:val="subscript"/>
        </w:rPr>
        <w:t>2</w:t>
      </w:r>
      <w:r w:rsidRPr="00C40B08">
        <w:rPr>
          <w:rFonts w:ascii="Calibri" w:hAnsi="Calibri"/>
        </w:rPr>
        <w:t xml:space="preserve"> emissions from the power sector are forecast to increase steadily through 2040, at an average annual growth ra</w:t>
      </w:r>
      <w:r w:rsidR="00776474" w:rsidRPr="00C40B08">
        <w:rPr>
          <w:rFonts w:ascii="Calibri" w:hAnsi="Calibri"/>
        </w:rPr>
        <w:t xml:space="preserve">te of 0.2% (Table </w:t>
      </w:r>
      <w:r w:rsidR="00D44075" w:rsidRPr="00C40B08">
        <w:rPr>
          <w:rFonts w:ascii="Calibri" w:hAnsi="Calibri"/>
        </w:rPr>
        <w:t>4</w:t>
      </w:r>
      <w:r w:rsidR="00776474" w:rsidRPr="00C40B08">
        <w:rPr>
          <w:rFonts w:ascii="Calibri" w:hAnsi="Calibri"/>
        </w:rPr>
        <w:t xml:space="preserve"> and Figure </w:t>
      </w:r>
      <w:r w:rsidR="003F43F1" w:rsidRPr="00C40B08">
        <w:rPr>
          <w:rFonts w:ascii="Calibri" w:hAnsi="Calibri"/>
        </w:rPr>
        <w:t>5</w:t>
      </w:r>
      <w:r w:rsidRPr="00C40B08">
        <w:rPr>
          <w:rFonts w:ascii="Calibri" w:hAnsi="Calibri"/>
        </w:rPr>
        <w:t xml:space="preserve">). </w:t>
      </w:r>
      <w:r w:rsidR="007647FA" w:rsidRPr="00C40B08">
        <w:rPr>
          <w:rFonts w:ascii="Calibri" w:hAnsi="Calibri"/>
        </w:rPr>
        <w:t>Because this is lower</w:t>
      </w:r>
      <w:r w:rsidRPr="00C40B08">
        <w:rPr>
          <w:rFonts w:ascii="Calibri" w:hAnsi="Calibri"/>
        </w:rPr>
        <w:t xml:space="preserve"> than the assumed rate of growth of the population and GDP</w:t>
      </w:r>
      <w:r w:rsidR="007647FA" w:rsidRPr="00C40B08">
        <w:rPr>
          <w:rFonts w:ascii="Calibri" w:hAnsi="Calibri"/>
        </w:rPr>
        <w:t>,</w:t>
      </w:r>
      <w:r w:rsidRPr="00C40B08">
        <w:rPr>
          <w:rFonts w:ascii="Calibri" w:hAnsi="Calibri"/>
        </w:rPr>
        <w:t xml:space="preserve"> CO</w:t>
      </w:r>
      <w:r w:rsidRPr="00C40B08">
        <w:rPr>
          <w:rFonts w:ascii="Calibri" w:hAnsi="Calibri"/>
          <w:vertAlign w:val="subscript"/>
        </w:rPr>
        <w:t>2</w:t>
      </w:r>
      <w:r w:rsidRPr="00C40B08">
        <w:rPr>
          <w:rFonts w:ascii="Calibri" w:hAnsi="Calibri"/>
        </w:rPr>
        <w:t xml:space="preserve"> emissions per capita and the carbon intensity of the economy are forecast to continue to decrease, as has been the trend for more than a decade.</w:t>
      </w:r>
    </w:p>
    <w:p w14:paraId="359EDFC1" w14:textId="77777777" w:rsidR="000656C9" w:rsidRDefault="000656C9">
      <w:pPr>
        <w:spacing w:after="160" w:line="259" w:lineRule="auto"/>
        <w:rPr>
          <w:rFonts w:ascii="Calibri" w:hAnsi="Calibri" w:cstheme="minorBidi"/>
          <w:b/>
        </w:rPr>
      </w:pPr>
      <w:r>
        <w:rPr>
          <w:rFonts w:ascii="Calibri" w:hAnsi="Calibri"/>
        </w:rPr>
        <w:br w:type="page"/>
      </w:r>
    </w:p>
    <w:p w14:paraId="207B623B" w14:textId="59448B3F" w:rsidR="00D44075" w:rsidRDefault="00D44075"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Table 4. CO</w:t>
      </w:r>
      <w:r w:rsidRPr="00C40B08">
        <w:rPr>
          <w:rFonts w:ascii="Calibri" w:hAnsi="Calibri"/>
          <w:color w:val="auto"/>
          <w:sz w:val="24"/>
          <w:szCs w:val="24"/>
          <w:vertAlign w:val="subscript"/>
        </w:rPr>
        <w:t>2</w:t>
      </w:r>
      <w:r w:rsidRPr="00C40B08">
        <w:rPr>
          <w:rFonts w:ascii="Calibri" w:hAnsi="Calibri"/>
          <w:color w:val="auto"/>
          <w:sz w:val="24"/>
          <w:szCs w:val="24"/>
        </w:rPr>
        <w:t xml:space="preserve"> Emissions Across </w:t>
      </w:r>
      <w:r w:rsidR="006C32A9">
        <w:rPr>
          <w:rFonts w:ascii="Calibri" w:hAnsi="Calibri"/>
          <w:color w:val="auto"/>
          <w:sz w:val="24"/>
          <w:szCs w:val="24"/>
        </w:rPr>
        <w:t>Mitigation</w:t>
      </w:r>
      <w:r w:rsidRPr="00C40B08">
        <w:rPr>
          <w:rFonts w:ascii="Calibri" w:hAnsi="Calibri"/>
          <w:color w:val="auto"/>
          <w:sz w:val="24"/>
          <w:szCs w:val="24"/>
        </w:rPr>
        <w:t xml:space="preserve"> Scenarios (Million Short Tons, Lower 48 State</w:t>
      </w:r>
      <w:proofErr w:type="gramStart"/>
      <w:r w:rsidRPr="00C40B08">
        <w:rPr>
          <w:rFonts w:ascii="Calibri" w:hAnsi="Calibri"/>
          <w:color w:val="auto"/>
          <w:sz w:val="24"/>
          <w:szCs w:val="24"/>
        </w:rPr>
        <w:t>)</w:t>
      </w:r>
      <w:r w:rsidRPr="00C40B08">
        <w:rPr>
          <w:rFonts w:ascii="Calibri" w:hAnsi="Calibri"/>
          <w:color w:val="auto"/>
          <w:sz w:val="24"/>
          <w:szCs w:val="24"/>
          <w:vertAlign w:val="superscript"/>
        </w:rPr>
        <w:t>a</w:t>
      </w:r>
      <w:proofErr w:type="gramEnd"/>
    </w:p>
    <w:tbl>
      <w:tblPr>
        <w:tblStyle w:val="GridTable1Light-Accent111"/>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080"/>
        <w:gridCol w:w="1260"/>
        <w:gridCol w:w="1260"/>
        <w:gridCol w:w="1170"/>
        <w:gridCol w:w="1260"/>
        <w:gridCol w:w="1620"/>
      </w:tblGrid>
      <w:tr w:rsidR="00CA6589" w:rsidRPr="00753072" w14:paraId="7FCB77DE" w14:textId="77777777" w:rsidTr="00CA65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Merge w:val="restart"/>
          </w:tcPr>
          <w:p w14:paraId="13551E36" w14:textId="77777777" w:rsidR="00CA6589" w:rsidRPr="00DD766A" w:rsidRDefault="00CA6589" w:rsidP="000656C9">
            <w:pPr>
              <w:spacing w:line="276" w:lineRule="auto"/>
              <w:rPr>
                <w:rFonts w:asciiTheme="minorHAnsi" w:hAnsiTheme="minorHAnsi"/>
              </w:rPr>
            </w:pPr>
          </w:p>
          <w:p w14:paraId="4374BAFC" w14:textId="77777777" w:rsidR="00CA6589" w:rsidRPr="00753072" w:rsidRDefault="00CA6589" w:rsidP="000656C9">
            <w:pPr>
              <w:spacing w:line="276" w:lineRule="auto"/>
              <w:rPr>
                <w:rFonts w:asciiTheme="minorHAnsi" w:hAnsiTheme="minorHAnsi"/>
              </w:rPr>
            </w:pPr>
          </w:p>
          <w:p w14:paraId="70362651" w14:textId="77777777" w:rsidR="00CA6589" w:rsidRPr="00753072" w:rsidRDefault="00CA6589" w:rsidP="000656C9">
            <w:pPr>
              <w:spacing w:line="276" w:lineRule="auto"/>
              <w:rPr>
                <w:rFonts w:asciiTheme="minorHAnsi" w:hAnsiTheme="minorHAnsi"/>
              </w:rPr>
            </w:pPr>
            <w:r w:rsidRPr="00753072">
              <w:rPr>
                <w:rFonts w:asciiTheme="minorHAnsi" w:hAnsiTheme="minorHAnsi"/>
              </w:rPr>
              <w:t>Scenarios</w:t>
            </w:r>
          </w:p>
        </w:tc>
        <w:tc>
          <w:tcPr>
            <w:tcW w:w="1080" w:type="dxa"/>
            <w:tcBorders>
              <w:bottom w:val="single" w:sz="4" w:space="0" w:color="auto"/>
            </w:tcBorders>
          </w:tcPr>
          <w:p w14:paraId="6868EA48" w14:textId="77777777" w:rsidR="00CA6589" w:rsidRPr="00753072" w:rsidRDefault="00CA6589" w:rsidP="000656C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53072">
              <w:rPr>
                <w:rFonts w:asciiTheme="minorHAnsi" w:hAnsiTheme="minorHAnsi"/>
              </w:rPr>
              <w:t>2012</w:t>
            </w:r>
          </w:p>
        </w:tc>
        <w:tc>
          <w:tcPr>
            <w:tcW w:w="6570" w:type="dxa"/>
            <w:gridSpan w:val="5"/>
            <w:tcBorders>
              <w:bottom w:val="single" w:sz="4" w:space="0" w:color="auto"/>
            </w:tcBorders>
          </w:tcPr>
          <w:p w14:paraId="1BF0CBE9" w14:textId="77777777" w:rsidR="00CA6589" w:rsidRPr="00753072" w:rsidRDefault="00CA6589" w:rsidP="000656C9">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753072">
              <w:rPr>
                <w:rFonts w:asciiTheme="minorHAnsi" w:hAnsiTheme="minorHAnsi"/>
              </w:rPr>
              <w:t>2030</w:t>
            </w:r>
          </w:p>
        </w:tc>
      </w:tr>
      <w:tr w:rsidR="00CA6589" w:rsidRPr="00753072" w14:paraId="06D0EE8C" w14:textId="77777777" w:rsidTr="00CA6589">
        <w:trPr>
          <w:trHeight w:val="417"/>
        </w:trPr>
        <w:tc>
          <w:tcPr>
            <w:cnfStyle w:val="001000000000" w:firstRow="0" w:lastRow="0" w:firstColumn="1" w:lastColumn="0" w:oddVBand="0" w:evenVBand="0" w:oddHBand="0" w:evenHBand="0" w:firstRowFirstColumn="0" w:firstRowLastColumn="0" w:lastRowFirstColumn="0" w:lastRowLastColumn="0"/>
            <w:tcW w:w="1908" w:type="dxa"/>
            <w:vMerge/>
          </w:tcPr>
          <w:p w14:paraId="3BC271C4" w14:textId="77777777" w:rsidR="00CA6589" w:rsidRPr="00753072" w:rsidRDefault="00CA6589" w:rsidP="000656C9">
            <w:pPr>
              <w:spacing w:line="276" w:lineRule="auto"/>
              <w:rPr>
                <w:rFonts w:asciiTheme="minorHAnsi" w:hAnsiTheme="minorHAnsi"/>
              </w:rPr>
            </w:pPr>
          </w:p>
        </w:tc>
        <w:tc>
          <w:tcPr>
            <w:tcW w:w="1080" w:type="dxa"/>
            <w:vMerge w:val="restart"/>
            <w:tcBorders>
              <w:top w:val="single" w:sz="4" w:space="0" w:color="auto"/>
            </w:tcBorders>
          </w:tcPr>
          <w:p w14:paraId="2D93384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color w:val="44546A" w:themeColor="text2"/>
                <w:spacing w:val="15"/>
              </w:rPr>
            </w:pPr>
          </w:p>
          <w:p w14:paraId="03E1FD7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hAnsiTheme="minorHAnsi"/>
                <w:b/>
                <w:color w:val="44546A" w:themeColor="text2"/>
              </w:rPr>
              <w:t>Electric Sector Total</w:t>
            </w:r>
          </w:p>
        </w:tc>
        <w:tc>
          <w:tcPr>
            <w:tcW w:w="1260" w:type="dxa"/>
            <w:vMerge w:val="restart"/>
            <w:tcBorders>
              <w:top w:val="single" w:sz="4" w:space="0" w:color="auto"/>
            </w:tcBorders>
          </w:tcPr>
          <w:p w14:paraId="0FC58EA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i/>
                <w:iCs/>
                <w:color w:val="44546A" w:themeColor="text2"/>
                <w:spacing w:val="15"/>
              </w:rPr>
            </w:pPr>
          </w:p>
          <w:p w14:paraId="28FD8C8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hAnsiTheme="minorHAnsi"/>
                <w:b/>
                <w:color w:val="44546A" w:themeColor="text2"/>
              </w:rPr>
              <w:t>Affected Existing EGUs</w:t>
            </w:r>
          </w:p>
        </w:tc>
        <w:tc>
          <w:tcPr>
            <w:tcW w:w="1260" w:type="dxa"/>
            <w:vMerge w:val="restart"/>
            <w:tcBorders>
              <w:top w:val="single" w:sz="4" w:space="0" w:color="auto"/>
            </w:tcBorders>
          </w:tcPr>
          <w:p w14:paraId="22041EC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hAnsiTheme="minorHAnsi"/>
                <w:b/>
                <w:color w:val="44546A" w:themeColor="text2"/>
              </w:rPr>
              <w:t>All Affected EGUs</w:t>
            </w:r>
          </w:p>
          <w:p w14:paraId="131DCA6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hAnsiTheme="minorHAnsi"/>
                <w:b/>
                <w:color w:val="44546A" w:themeColor="text2"/>
              </w:rPr>
              <w:t>(Existing &amp; New)</w:t>
            </w:r>
          </w:p>
        </w:tc>
        <w:tc>
          <w:tcPr>
            <w:tcW w:w="4050" w:type="dxa"/>
            <w:gridSpan w:val="3"/>
            <w:tcBorders>
              <w:top w:val="single" w:sz="4" w:space="0" w:color="auto"/>
            </w:tcBorders>
          </w:tcPr>
          <w:p w14:paraId="78EAB2E6"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44546A" w:themeColor="text2"/>
              </w:rPr>
            </w:pPr>
          </w:p>
          <w:p w14:paraId="5EDE077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44546A" w:themeColor="text2"/>
              </w:rPr>
            </w:pPr>
            <w:r w:rsidRPr="00753072">
              <w:rPr>
                <w:rFonts w:asciiTheme="minorHAnsi" w:hAnsiTheme="minorHAnsi"/>
                <w:b/>
                <w:color w:val="44546A" w:themeColor="text2"/>
              </w:rPr>
              <w:t>Electric Sector</w:t>
            </w:r>
          </w:p>
        </w:tc>
      </w:tr>
      <w:tr w:rsidR="00CA6589" w:rsidRPr="00753072" w14:paraId="4114BC07" w14:textId="77777777" w:rsidTr="00CA6589">
        <w:trPr>
          <w:trHeight w:val="768"/>
        </w:trPr>
        <w:tc>
          <w:tcPr>
            <w:cnfStyle w:val="001000000000" w:firstRow="0" w:lastRow="0" w:firstColumn="1" w:lastColumn="0" w:oddVBand="0" w:evenVBand="0" w:oddHBand="0" w:evenHBand="0" w:firstRowFirstColumn="0" w:firstRowLastColumn="0" w:lastRowFirstColumn="0" w:lastRowLastColumn="0"/>
            <w:tcW w:w="1908" w:type="dxa"/>
            <w:vMerge/>
          </w:tcPr>
          <w:p w14:paraId="185C1893" w14:textId="77777777" w:rsidR="00CA6589" w:rsidRPr="00753072" w:rsidRDefault="00CA6589" w:rsidP="000656C9">
            <w:pPr>
              <w:spacing w:line="276" w:lineRule="auto"/>
              <w:rPr>
                <w:rFonts w:asciiTheme="minorHAnsi" w:hAnsiTheme="minorHAnsi"/>
              </w:rPr>
            </w:pPr>
          </w:p>
        </w:tc>
        <w:tc>
          <w:tcPr>
            <w:tcW w:w="1080" w:type="dxa"/>
            <w:vMerge/>
          </w:tcPr>
          <w:p w14:paraId="20277D38"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i/>
                <w:iCs/>
                <w:color w:val="44546A" w:themeColor="text2"/>
                <w:spacing w:val="15"/>
              </w:rPr>
            </w:pPr>
          </w:p>
        </w:tc>
        <w:tc>
          <w:tcPr>
            <w:tcW w:w="1260" w:type="dxa"/>
            <w:vMerge/>
          </w:tcPr>
          <w:p w14:paraId="25FBA19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i/>
                <w:iCs/>
                <w:color w:val="44546A" w:themeColor="text2"/>
                <w:spacing w:val="15"/>
              </w:rPr>
            </w:pPr>
          </w:p>
        </w:tc>
        <w:tc>
          <w:tcPr>
            <w:tcW w:w="1260" w:type="dxa"/>
            <w:vMerge/>
          </w:tcPr>
          <w:p w14:paraId="4171F17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i/>
                <w:iCs/>
                <w:color w:val="44546A" w:themeColor="text2"/>
                <w:spacing w:val="15"/>
              </w:rPr>
            </w:pPr>
          </w:p>
        </w:tc>
        <w:tc>
          <w:tcPr>
            <w:tcW w:w="1170" w:type="dxa"/>
          </w:tcPr>
          <w:p w14:paraId="4B487DF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b/>
                <w:i/>
                <w:iCs/>
                <w:color w:val="44546A" w:themeColor="text2"/>
                <w:spacing w:val="15"/>
              </w:rPr>
            </w:pPr>
          </w:p>
          <w:p w14:paraId="3715B85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hAnsiTheme="minorHAnsi"/>
                <w:b/>
                <w:color w:val="44546A" w:themeColor="text2"/>
              </w:rPr>
              <w:t>Total</w:t>
            </w:r>
          </w:p>
        </w:tc>
        <w:tc>
          <w:tcPr>
            <w:tcW w:w="1260" w:type="dxa"/>
          </w:tcPr>
          <w:p w14:paraId="574C9C6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44546A" w:themeColor="text2"/>
              </w:rPr>
            </w:pPr>
          </w:p>
          <w:p w14:paraId="3118A58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i/>
                <w:iCs/>
                <w:color w:val="44546A" w:themeColor="text2"/>
              </w:rPr>
            </w:pPr>
            <w:r w:rsidRPr="00753072">
              <w:rPr>
                <w:rFonts w:asciiTheme="minorHAnsi" w:eastAsia="Times New Roman" w:hAnsiTheme="minorHAnsi"/>
                <w:b/>
                <w:bCs/>
                <w:color w:val="44546A" w:themeColor="text2"/>
              </w:rPr>
              <w:t>% Change from 2012</w:t>
            </w:r>
          </w:p>
        </w:tc>
        <w:tc>
          <w:tcPr>
            <w:tcW w:w="1620" w:type="dxa"/>
          </w:tcPr>
          <w:p w14:paraId="1993404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bCs/>
                <w:color w:val="44546A" w:themeColor="text2"/>
              </w:rPr>
            </w:pPr>
            <w:r w:rsidRPr="00753072">
              <w:rPr>
                <w:rFonts w:asciiTheme="minorHAnsi" w:eastAsia="Times New Roman" w:hAnsiTheme="minorHAnsi"/>
                <w:b/>
                <w:bCs/>
                <w:color w:val="44546A" w:themeColor="text2"/>
              </w:rPr>
              <w:t>% Change from Reference in 2030</w:t>
            </w:r>
          </w:p>
        </w:tc>
      </w:tr>
      <w:tr w:rsidR="00CA6589" w:rsidRPr="00753072" w14:paraId="2D22F6F9" w14:textId="77777777" w:rsidTr="00CA6589">
        <w:tc>
          <w:tcPr>
            <w:cnfStyle w:val="001000000000" w:firstRow="0" w:lastRow="0" w:firstColumn="1" w:lastColumn="0" w:oddVBand="0" w:evenVBand="0" w:oddHBand="0" w:evenHBand="0" w:firstRowFirstColumn="0" w:firstRowLastColumn="0" w:lastRowFirstColumn="0" w:lastRowLastColumn="0"/>
            <w:tcW w:w="9558" w:type="dxa"/>
            <w:gridSpan w:val="7"/>
            <w:tcBorders>
              <w:bottom w:val="single" w:sz="4" w:space="0" w:color="auto"/>
            </w:tcBorders>
            <w:shd w:val="clear" w:color="auto" w:fill="BDD6EE" w:themeFill="accent1" w:themeFillTint="66"/>
            <w:vAlign w:val="center"/>
          </w:tcPr>
          <w:p w14:paraId="537E3E25" w14:textId="77777777" w:rsidR="00CA6589" w:rsidRPr="00753072" w:rsidRDefault="00CA6589" w:rsidP="000656C9">
            <w:pPr>
              <w:spacing w:line="276" w:lineRule="auto"/>
              <w:rPr>
                <w:rFonts w:asciiTheme="minorHAnsi" w:eastAsia="Times New Roman" w:hAnsiTheme="minorHAnsi"/>
                <w:color w:val="000000"/>
              </w:rPr>
            </w:pPr>
            <w:r w:rsidRPr="00753072">
              <w:rPr>
                <w:rFonts w:asciiTheme="minorHAnsi" w:hAnsiTheme="minorHAnsi"/>
                <w:color w:val="auto"/>
              </w:rPr>
              <w:t>Reference Cases:</w:t>
            </w:r>
          </w:p>
        </w:tc>
      </w:tr>
      <w:tr w:rsidR="00CA6589" w:rsidRPr="00753072" w14:paraId="2429852B" w14:textId="77777777" w:rsidTr="00CA6589">
        <w:trPr>
          <w:trHeight w:val="305"/>
        </w:trPr>
        <w:tc>
          <w:tcPr>
            <w:cnfStyle w:val="001000000000" w:firstRow="0" w:lastRow="0" w:firstColumn="1" w:lastColumn="0" w:oddVBand="0" w:evenVBand="0" w:oddHBand="0" w:evenHBand="0" w:firstRowFirstColumn="0" w:firstRowLastColumn="0" w:lastRowFirstColumn="0" w:lastRowLastColumn="0"/>
            <w:tcW w:w="1908" w:type="dxa"/>
            <w:tcBorders>
              <w:top w:val="single" w:sz="4" w:space="0" w:color="auto"/>
              <w:bottom w:val="nil"/>
            </w:tcBorders>
            <w:vAlign w:val="center"/>
          </w:tcPr>
          <w:p w14:paraId="316966A8" w14:textId="77777777" w:rsidR="00CA6589" w:rsidRPr="00753072" w:rsidRDefault="00CA6589" w:rsidP="000656C9">
            <w:pPr>
              <w:spacing w:line="276" w:lineRule="auto"/>
              <w:rPr>
                <w:rFonts w:asciiTheme="minorHAnsi" w:hAnsiTheme="minorHAnsi"/>
                <w:b w:val="0"/>
              </w:rPr>
            </w:pPr>
            <w:r w:rsidRPr="00753072">
              <w:rPr>
                <w:rFonts w:asciiTheme="minorHAnsi" w:hAnsiTheme="minorHAnsi"/>
                <w:b w:val="0"/>
              </w:rPr>
              <w:t>Reference Case</w:t>
            </w:r>
          </w:p>
        </w:tc>
        <w:tc>
          <w:tcPr>
            <w:tcW w:w="1080" w:type="dxa"/>
            <w:tcBorders>
              <w:top w:val="single" w:sz="4" w:space="0" w:color="auto"/>
              <w:bottom w:val="nil"/>
            </w:tcBorders>
          </w:tcPr>
          <w:p w14:paraId="3393F75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2,243</w:t>
            </w:r>
          </w:p>
        </w:tc>
        <w:tc>
          <w:tcPr>
            <w:tcW w:w="1260" w:type="dxa"/>
            <w:tcBorders>
              <w:top w:val="single" w:sz="4" w:space="0" w:color="auto"/>
              <w:bottom w:val="nil"/>
            </w:tcBorders>
            <w:vAlign w:val="center"/>
          </w:tcPr>
          <w:p w14:paraId="4E84F3A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2,130</w:t>
            </w:r>
          </w:p>
        </w:tc>
        <w:tc>
          <w:tcPr>
            <w:tcW w:w="1260" w:type="dxa"/>
            <w:tcBorders>
              <w:top w:val="single" w:sz="4" w:space="0" w:color="auto"/>
              <w:bottom w:val="nil"/>
            </w:tcBorders>
            <w:vAlign w:val="center"/>
          </w:tcPr>
          <w:p w14:paraId="5D839A0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2,289</w:t>
            </w:r>
          </w:p>
        </w:tc>
        <w:tc>
          <w:tcPr>
            <w:tcW w:w="1170" w:type="dxa"/>
            <w:tcBorders>
              <w:top w:val="single" w:sz="4" w:space="0" w:color="auto"/>
              <w:bottom w:val="nil"/>
            </w:tcBorders>
            <w:vAlign w:val="center"/>
          </w:tcPr>
          <w:p w14:paraId="1CB96C1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2,315</w:t>
            </w:r>
          </w:p>
        </w:tc>
        <w:tc>
          <w:tcPr>
            <w:tcW w:w="1260" w:type="dxa"/>
            <w:tcBorders>
              <w:top w:val="single" w:sz="4" w:space="0" w:color="auto"/>
              <w:bottom w:val="nil"/>
            </w:tcBorders>
            <w:vAlign w:val="center"/>
          </w:tcPr>
          <w:p w14:paraId="10739A6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3.2%</w:t>
            </w:r>
          </w:p>
        </w:tc>
        <w:tc>
          <w:tcPr>
            <w:tcW w:w="1620" w:type="dxa"/>
            <w:tcBorders>
              <w:top w:val="single" w:sz="4" w:space="0" w:color="auto"/>
              <w:bottom w:val="nil"/>
            </w:tcBorders>
          </w:tcPr>
          <w:p w14:paraId="3DF6125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r>
      <w:tr w:rsidR="00CA6589" w:rsidRPr="00753072" w14:paraId="4EC513DA" w14:textId="77777777" w:rsidTr="00CA6589">
        <w:tc>
          <w:tcPr>
            <w:cnfStyle w:val="001000000000" w:firstRow="0" w:lastRow="0" w:firstColumn="1" w:lastColumn="0" w:oddVBand="0" w:evenVBand="0" w:oddHBand="0" w:evenHBand="0" w:firstRowFirstColumn="0" w:firstRowLastColumn="0" w:lastRowFirstColumn="0" w:lastRowLastColumn="0"/>
            <w:tcW w:w="1908" w:type="dxa"/>
            <w:tcBorders>
              <w:top w:val="nil"/>
              <w:bottom w:val="single" w:sz="4" w:space="0" w:color="auto"/>
            </w:tcBorders>
            <w:vAlign w:val="center"/>
          </w:tcPr>
          <w:p w14:paraId="67E690FE" w14:textId="77777777" w:rsidR="00CA6589" w:rsidRPr="00753072" w:rsidRDefault="00CA6589" w:rsidP="000656C9">
            <w:pPr>
              <w:spacing w:line="276" w:lineRule="auto"/>
              <w:rPr>
                <w:rFonts w:asciiTheme="minorHAnsi" w:hAnsiTheme="minorHAnsi"/>
                <w:b w:val="0"/>
              </w:rPr>
            </w:pPr>
            <w:proofErr w:type="spellStart"/>
            <w:r w:rsidRPr="00753072">
              <w:rPr>
                <w:rFonts w:asciiTheme="minorHAnsi" w:hAnsiTheme="minorHAnsi"/>
                <w:b w:val="0"/>
                <w:color w:val="auto"/>
              </w:rPr>
              <w:t>Reference+EE</w:t>
            </w:r>
            <w:proofErr w:type="spellEnd"/>
          </w:p>
        </w:tc>
        <w:tc>
          <w:tcPr>
            <w:tcW w:w="1080" w:type="dxa"/>
            <w:tcBorders>
              <w:top w:val="nil"/>
              <w:bottom w:val="single" w:sz="4" w:space="0" w:color="auto"/>
            </w:tcBorders>
          </w:tcPr>
          <w:p w14:paraId="1355605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c>
          <w:tcPr>
            <w:tcW w:w="1260" w:type="dxa"/>
            <w:tcBorders>
              <w:top w:val="nil"/>
              <w:bottom w:val="single" w:sz="4" w:space="0" w:color="auto"/>
            </w:tcBorders>
            <w:vAlign w:val="center"/>
          </w:tcPr>
          <w:p w14:paraId="4D5D3A4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2,128 </w:t>
            </w:r>
          </w:p>
        </w:tc>
        <w:tc>
          <w:tcPr>
            <w:tcW w:w="1260" w:type="dxa"/>
            <w:tcBorders>
              <w:top w:val="nil"/>
              <w:bottom w:val="single" w:sz="4" w:space="0" w:color="auto"/>
            </w:tcBorders>
            <w:vAlign w:val="center"/>
          </w:tcPr>
          <w:p w14:paraId="0C908AE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2,208 </w:t>
            </w:r>
          </w:p>
        </w:tc>
        <w:tc>
          <w:tcPr>
            <w:tcW w:w="1170" w:type="dxa"/>
            <w:tcBorders>
              <w:top w:val="nil"/>
              <w:bottom w:val="single" w:sz="4" w:space="0" w:color="auto"/>
            </w:tcBorders>
            <w:vAlign w:val="center"/>
          </w:tcPr>
          <w:p w14:paraId="202CCD9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2,232 </w:t>
            </w:r>
          </w:p>
        </w:tc>
        <w:tc>
          <w:tcPr>
            <w:tcW w:w="1260" w:type="dxa"/>
            <w:tcBorders>
              <w:top w:val="nil"/>
              <w:bottom w:val="single" w:sz="4" w:space="0" w:color="auto"/>
            </w:tcBorders>
            <w:vAlign w:val="center"/>
          </w:tcPr>
          <w:p w14:paraId="71D7798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-0.5%</w:t>
            </w:r>
          </w:p>
        </w:tc>
        <w:tc>
          <w:tcPr>
            <w:tcW w:w="1620" w:type="dxa"/>
            <w:tcBorders>
              <w:top w:val="nil"/>
              <w:bottom w:val="single" w:sz="4" w:space="0" w:color="auto"/>
            </w:tcBorders>
          </w:tcPr>
          <w:p w14:paraId="725F582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-3.6%</w:t>
            </w:r>
          </w:p>
        </w:tc>
      </w:tr>
      <w:tr w:rsidR="00CA6589" w:rsidRPr="00753072" w14:paraId="3FD6756D" w14:textId="77777777" w:rsidTr="00CA6589">
        <w:trPr>
          <w:trHeight w:val="274"/>
        </w:trPr>
        <w:tc>
          <w:tcPr>
            <w:cnfStyle w:val="001000000000" w:firstRow="0" w:lastRow="0" w:firstColumn="1" w:lastColumn="0" w:oddVBand="0" w:evenVBand="0" w:oddHBand="0" w:evenHBand="0" w:firstRowFirstColumn="0" w:firstRowLastColumn="0" w:lastRowFirstColumn="0" w:lastRowLastColumn="0"/>
            <w:tcW w:w="9558" w:type="dxa"/>
            <w:gridSpan w:val="7"/>
            <w:shd w:val="clear" w:color="auto" w:fill="BDD6EE" w:themeFill="accent1" w:themeFillTint="66"/>
            <w:vAlign w:val="center"/>
          </w:tcPr>
          <w:p w14:paraId="799763A4" w14:textId="77777777" w:rsidR="00CA6589" w:rsidRPr="00753072" w:rsidRDefault="00CA6589" w:rsidP="000656C9">
            <w:pPr>
              <w:spacing w:line="276" w:lineRule="auto"/>
              <w:rPr>
                <w:rFonts w:asciiTheme="minorHAnsi" w:hAnsiTheme="minorHAnsi"/>
                <w:color w:val="auto"/>
              </w:rPr>
            </w:pPr>
            <w:r>
              <w:rPr>
                <w:rFonts w:asciiTheme="minorHAnsi" w:hAnsiTheme="minorHAnsi"/>
                <w:color w:val="auto"/>
              </w:rPr>
              <w:t>Mitigation</w:t>
            </w:r>
            <w:r w:rsidRPr="00753072">
              <w:rPr>
                <w:rFonts w:asciiTheme="minorHAnsi" w:hAnsiTheme="minorHAnsi"/>
                <w:color w:val="auto"/>
              </w:rPr>
              <w:t xml:space="preserve"> Scenarios:</w:t>
            </w:r>
          </w:p>
        </w:tc>
      </w:tr>
      <w:tr w:rsidR="00CA6589" w:rsidRPr="00753072" w14:paraId="074C51AD" w14:textId="77777777" w:rsidTr="00CA6589">
        <w:trPr>
          <w:trHeight w:val="274"/>
        </w:trPr>
        <w:tc>
          <w:tcPr>
            <w:cnfStyle w:val="001000000000" w:firstRow="0" w:lastRow="0" w:firstColumn="1" w:lastColumn="0" w:oddVBand="0" w:evenVBand="0" w:oddHBand="0" w:evenHBand="0" w:firstRowFirstColumn="0" w:firstRowLastColumn="0" w:lastRowFirstColumn="0" w:lastRowLastColumn="0"/>
            <w:tcW w:w="1908" w:type="dxa"/>
            <w:tcBorders>
              <w:bottom w:val="nil"/>
            </w:tcBorders>
            <w:vAlign w:val="center"/>
          </w:tcPr>
          <w:p w14:paraId="2163B157" w14:textId="77777777" w:rsidR="00CA6589" w:rsidRPr="00753072" w:rsidRDefault="00CA6589" w:rsidP="000656C9">
            <w:pPr>
              <w:spacing w:line="276" w:lineRule="auto"/>
              <w:rPr>
                <w:rFonts w:asciiTheme="minorHAnsi" w:hAnsiTheme="minorHAnsi"/>
                <w:b w:val="0"/>
              </w:rPr>
            </w:pPr>
            <w:proofErr w:type="spellStart"/>
            <w:r w:rsidRPr="00753072">
              <w:rPr>
                <w:rFonts w:asciiTheme="minorHAnsi" w:hAnsiTheme="minorHAnsi"/>
                <w:b w:val="0"/>
                <w:color w:val="auto"/>
              </w:rPr>
              <w:t>CPP_Existing</w:t>
            </w:r>
            <w:proofErr w:type="spellEnd"/>
          </w:p>
        </w:tc>
        <w:tc>
          <w:tcPr>
            <w:tcW w:w="1080" w:type="dxa"/>
            <w:tcBorders>
              <w:bottom w:val="nil"/>
            </w:tcBorders>
          </w:tcPr>
          <w:p w14:paraId="089708D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c>
          <w:tcPr>
            <w:tcW w:w="1260" w:type="dxa"/>
            <w:tcBorders>
              <w:bottom w:val="nil"/>
            </w:tcBorders>
            <w:vAlign w:val="center"/>
          </w:tcPr>
          <w:p w14:paraId="2539BB8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1,631 </w:t>
            </w:r>
          </w:p>
        </w:tc>
        <w:tc>
          <w:tcPr>
            <w:tcW w:w="1260" w:type="dxa"/>
            <w:tcBorders>
              <w:bottom w:val="nil"/>
            </w:tcBorders>
            <w:vAlign w:val="center"/>
          </w:tcPr>
          <w:p w14:paraId="32DAF03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1,897 </w:t>
            </w:r>
          </w:p>
        </w:tc>
        <w:tc>
          <w:tcPr>
            <w:tcW w:w="1170" w:type="dxa"/>
            <w:tcBorders>
              <w:bottom w:val="nil"/>
            </w:tcBorders>
            <w:vAlign w:val="center"/>
          </w:tcPr>
          <w:p w14:paraId="143E829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1,920 </w:t>
            </w:r>
          </w:p>
        </w:tc>
        <w:tc>
          <w:tcPr>
            <w:tcW w:w="1260" w:type="dxa"/>
            <w:tcBorders>
              <w:bottom w:val="nil"/>
            </w:tcBorders>
            <w:vAlign w:val="center"/>
          </w:tcPr>
          <w:p w14:paraId="3D23AF9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-14.4%</w:t>
            </w:r>
          </w:p>
        </w:tc>
        <w:tc>
          <w:tcPr>
            <w:tcW w:w="1620" w:type="dxa"/>
            <w:tcBorders>
              <w:bottom w:val="nil"/>
            </w:tcBorders>
          </w:tcPr>
          <w:p w14:paraId="1D13450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-17.1%</w:t>
            </w:r>
          </w:p>
        </w:tc>
      </w:tr>
      <w:tr w:rsidR="00CA6589" w:rsidRPr="00753072" w14:paraId="29E3B371" w14:textId="77777777" w:rsidTr="00CA6589">
        <w:tc>
          <w:tcPr>
            <w:cnfStyle w:val="001000000000" w:firstRow="0" w:lastRow="0" w:firstColumn="1" w:lastColumn="0" w:oddVBand="0" w:evenVBand="0" w:oddHBand="0" w:evenHBand="0" w:firstRowFirstColumn="0" w:firstRowLastColumn="0" w:lastRowFirstColumn="0" w:lastRowLastColumn="0"/>
            <w:tcW w:w="1908" w:type="dxa"/>
            <w:tcBorders>
              <w:top w:val="nil"/>
            </w:tcBorders>
            <w:vAlign w:val="center"/>
          </w:tcPr>
          <w:p w14:paraId="15E60070" w14:textId="77777777" w:rsidR="00CA6589" w:rsidRPr="00753072" w:rsidRDefault="00CA6589" w:rsidP="000656C9">
            <w:pPr>
              <w:spacing w:line="276" w:lineRule="auto"/>
              <w:rPr>
                <w:rFonts w:asciiTheme="minorHAnsi" w:hAnsiTheme="minorHAnsi"/>
                <w:b w:val="0"/>
              </w:rPr>
            </w:pPr>
            <w:proofErr w:type="spellStart"/>
            <w:r w:rsidRPr="00753072">
              <w:rPr>
                <w:rFonts w:asciiTheme="minorHAnsi" w:hAnsiTheme="minorHAnsi"/>
                <w:b w:val="0"/>
                <w:color w:val="auto"/>
              </w:rPr>
              <w:t>CPP_Existing+EE</w:t>
            </w:r>
            <w:proofErr w:type="spellEnd"/>
          </w:p>
        </w:tc>
        <w:tc>
          <w:tcPr>
            <w:tcW w:w="1080" w:type="dxa"/>
            <w:tcBorders>
              <w:top w:val="nil"/>
            </w:tcBorders>
          </w:tcPr>
          <w:p w14:paraId="33AB9112"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c>
          <w:tcPr>
            <w:tcW w:w="1260" w:type="dxa"/>
            <w:tcBorders>
              <w:top w:val="nil"/>
            </w:tcBorders>
            <w:vAlign w:val="center"/>
          </w:tcPr>
          <w:p w14:paraId="57E924D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1,627 </w:t>
            </w:r>
          </w:p>
        </w:tc>
        <w:tc>
          <w:tcPr>
            <w:tcW w:w="1260" w:type="dxa"/>
            <w:tcBorders>
              <w:top w:val="nil"/>
            </w:tcBorders>
            <w:vAlign w:val="center"/>
          </w:tcPr>
          <w:p w14:paraId="26377359"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1,812 </w:t>
            </w:r>
          </w:p>
        </w:tc>
        <w:tc>
          <w:tcPr>
            <w:tcW w:w="1170" w:type="dxa"/>
            <w:tcBorders>
              <w:top w:val="nil"/>
            </w:tcBorders>
            <w:vAlign w:val="center"/>
          </w:tcPr>
          <w:p w14:paraId="3850E0F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1,833 </w:t>
            </w:r>
          </w:p>
        </w:tc>
        <w:tc>
          <w:tcPr>
            <w:tcW w:w="1260" w:type="dxa"/>
            <w:tcBorders>
              <w:top w:val="nil"/>
            </w:tcBorders>
            <w:vAlign w:val="center"/>
          </w:tcPr>
          <w:p w14:paraId="11D44AF1"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-18.3%</w:t>
            </w:r>
          </w:p>
        </w:tc>
        <w:tc>
          <w:tcPr>
            <w:tcW w:w="1620" w:type="dxa"/>
            <w:tcBorders>
              <w:top w:val="nil"/>
            </w:tcBorders>
          </w:tcPr>
          <w:p w14:paraId="184BAAC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-20.8%</w:t>
            </w:r>
          </w:p>
        </w:tc>
      </w:tr>
      <w:tr w:rsidR="00CA6589" w:rsidRPr="00753072" w14:paraId="211CE22B" w14:textId="77777777" w:rsidTr="00CA6589">
        <w:tc>
          <w:tcPr>
            <w:cnfStyle w:val="001000000000" w:firstRow="0" w:lastRow="0" w:firstColumn="1" w:lastColumn="0" w:oddVBand="0" w:evenVBand="0" w:oddHBand="0" w:evenHBand="0" w:firstRowFirstColumn="0" w:firstRowLastColumn="0" w:lastRowFirstColumn="0" w:lastRowLastColumn="0"/>
            <w:tcW w:w="1908" w:type="dxa"/>
            <w:tcBorders>
              <w:bottom w:val="nil"/>
            </w:tcBorders>
            <w:vAlign w:val="center"/>
          </w:tcPr>
          <w:p w14:paraId="1F67C866" w14:textId="77777777" w:rsidR="00CA6589" w:rsidRPr="00753072" w:rsidRDefault="00CA6589" w:rsidP="000656C9">
            <w:pPr>
              <w:spacing w:line="276" w:lineRule="auto"/>
              <w:rPr>
                <w:rFonts w:asciiTheme="minorHAnsi" w:hAnsiTheme="minorHAnsi"/>
                <w:b w:val="0"/>
              </w:rPr>
            </w:pPr>
            <w:proofErr w:type="spellStart"/>
            <w:r w:rsidRPr="00753072">
              <w:rPr>
                <w:rFonts w:asciiTheme="minorHAnsi" w:hAnsiTheme="minorHAnsi"/>
                <w:b w:val="0"/>
                <w:color w:val="auto"/>
              </w:rPr>
              <w:t>CPP_All</w:t>
            </w:r>
            <w:proofErr w:type="spellEnd"/>
          </w:p>
        </w:tc>
        <w:tc>
          <w:tcPr>
            <w:tcW w:w="1080" w:type="dxa"/>
            <w:tcBorders>
              <w:bottom w:val="nil"/>
            </w:tcBorders>
          </w:tcPr>
          <w:p w14:paraId="6B7FBC6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c>
          <w:tcPr>
            <w:tcW w:w="1260" w:type="dxa"/>
            <w:tcBorders>
              <w:bottom w:val="nil"/>
            </w:tcBorders>
            <w:vAlign w:val="center"/>
          </w:tcPr>
          <w:p w14:paraId="1E6CBDD3"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1,678 </w:t>
            </w:r>
          </w:p>
        </w:tc>
        <w:tc>
          <w:tcPr>
            <w:tcW w:w="1260" w:type="dxa"/>
            <w:tcBorders>
              <w:bottom w:val="nil"/>
            </w:tcBorders>
            <w:vAlign w:val="center"/>
          </w:tcPr>
          <w:p w14:paraId="4CBB16DA"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1,749 </w:t>
            </w:r>
          </w:p>
        </w:tc>
        <w:tc>
          <w:tcPr>
            <w:tcW w:w="1170" w:type="dxa"/>
            <w:tcBorders>
              <w:bottom w:val="nil"/>
            </w:tcBorders>
            <w:vAlign w:val="center"/>
          </w:tcPr>
          <w:p w14:paraId="406882CF"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1,786 </w:t>
            </w:r>
          </w:p>
        </w:tc>
        <w:tc>
          <w:tcPr>
            <w:tcW w:w="1260" w:type="dxa"/>
            <w:tcBorders>
              <w:bottom w:val="nil"/>
            </w:tcBorders>
            <w:vAlign w:val="center"/>
          </w:tcPr>
          <w:p w14:paraId="046F225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-20.4%</w:t>
            </w:r>
          </w:p>
        </w:tc>
        <w:tc>
          <w:tcPr>
            <w:tcW w:w="1620" w:type="dxa"/>
            <w:tcBorders>
              <w:bottom w:val="nil"/>
            </w:tcBorders>
          </w:tcPr>
          <w:p w14:paraId="3684D645"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-22.9%</w:t>
            </w:r>
          </w:p>
        </w:tc>
      </w:tr>
      <w:tr w:rsidR="00CA6589" w:rsidRPr="00753072" w14:paraId="5A74D77F" w14:textId="77777777" w:rsidTr="00CA6589">
        <w:trPr>
          <w:trHeight w:val="288"/>
        </w:trPr>
        <w:tc>
          <w:tcPr>
            <w:cnfStyle w:val="001000000000" w:firstRow="0" w:lastRow="0" w:firstColumn="1" w:lastColumn="0" w:oddVBand="0" w:evenVBand="0" w:oddHBand="0" w:evenHBand="0" w:firstRowFirstColumn="0" w:firstRowLastColumn="0" w:lastRowFirstColumn="0" w:lastRowLastColumn="0"/>
            <w:tcW w:w="1908" w:type="dxa"/>
            <w:tcBorders>
              <w:top w:val="nil"/>
            </w:tcBorders>
            <w:vAlign w:val="center"/>
          </w:tcPr>
          <w:p w14:paraId="6C1D61F0" w14:textId="77777777" w:rsidR="00CA6589" w:rsidRPr="00753072" w:rsidRDefault="00CA6589" w:rsidP="000656C9">
            <w:pPr>
              <w:spacing w:line="276" w:lineRule="auto"/>
              <w:rPr>
                <w:rFonts w:asciiTheme="minorHAnsi" w:hAnsiTheme="minorHAnsi"/>
                <w:b w:val="0"/>
              </w:rPr>
            </w:pPr>
            <w:proofErr w:type="spellStart"/>
            <w:r w:rsidRPr="00753072">
              <w:rPr>
                <w:rFonts w:asciiTheme="minorHAnsi" w:hAnsiTheme="minorHAnsi"/>
                <w:b w:val="0"/>
                <w:color w:val="auto"/>
              </w:rPr>
              <w:t>CPP_All+EE</w:t>
            </w:r>
            <w:proofErr w:type="spellEnd"/>
          </w:p>
        </w:tc>
        <w:tc>
          <w:tcPr>
            <w:tcW w:w="1080" w:type="dxa"/>
            <w:tcBorders>
              <w:top w:val="nil"/>
            </w:tcBorders>
          </w:tcPr>
          <w:p w14:paraId="3E43179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w:t>
            </w:r>
          </w:p>
        </w:tc>
        <w:tc>
          <w:tcPr>
            <w:tcW w:w="1260" w:type="dxa"/>
            <w:tcBorders>
              <w:top w:val="nil"/>
            </w:tcBorders>
            <w:vAlign w:val="center"/>
          </w:tcPr>
          <w:p w14:paraId="2EEDE3BD"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1,676 </w:t>
            </w:r>
          </w:p>
        </w:tc>
        <w:tc>
          <w:tcPr>
            <w:tcW w:w="1260" w:type="dxa"/>
            <w:tcBorders>
              <w:top w:val="nil"/>
            </w:tcBorders>
            <w:vAlign w:val="center"/>
          </w:tcPr>
          <w:p w14:paraId="77468D3E"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1,736 </w:t>
            </w:r>
          </w:p>
        </w:tc>
        <w:tc>
          <w:tcPr>
            <w:tcW w:w="1170" w:type="dxa"/>
            <w:tcBorders>
              <w:top w:val="nil"/>
            </w:tcBorders>
            <w:vAlign w:val="center"/>
          </w:tcPr>
          <w:p w14:paraId="68A57D94"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 xml:space="preserve">1,762 </w:t>
            </w:r>
          </w:p>
        </w:tc>
        <w:tc>
          <w:tcPr>
            <w:tcW w:w="1260" w:type="dxa"/>
            <w:tcBorders>
              <w:top w:val="nil"/>
            </w:tcBorders>
            <w:vAlign w:val="center"/>
          </w:tcPr>
          <w:p w14:paraId="2FCF92EC"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-21.5%</w:t>
            </w:r>
          </w:p>
        </w:tc>
        <w:tc>
          <w:tcPr>
            <w:tcW w:w="1620" w:type="dxa"/>
            <w:tcBorders>
              <w:top w:val="nil"/>
            </w:tcBorders>
          </w:tcPr>
          <w:p w14:paraId="494440C0" w14:textId="77777777" w:rsidR="00CA6589" w:rsidRPr="00753072" w:rsidRDefault="00CA6589" w:rsidP="000656C9">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rPr>
            </w:pPr>
            <w:r w:rsidRPr="00753072">
              <w:rPr>
                <w:rFonts w:asciiTheme="minorHAnsi" w:eastAsia="Times New Roman" w:hAnsiTheme="minorHAnsi"/>
                <w:color w:val="000000"/>
              </w:rPr>
              <w:t>-23.9%</w:t>
            </w:r>
          </w:p>
        </w:tc>
      </w:tr>
    </w:tbl>
    <w:p w14:paraId="4F7C037E" w14:textId="77777777" w:rsidR="00CA6589" w:rsidRPr="00753072" w:rsidRDefault="00CA6589" w:rsidP="000656C9">
      <w:pPr>
        <w:pStyle w:val="Caption"/>
        <w:spacing w:line="276" w:lineRule="auto"/>
        <w:rPr>
          <w:i w:val="0"/>
          <w:sz w:val="24"/>
          <w:szCs w:val="24"/>
        </w:rPr>
      </w:pPr>
      <w:proofErr w:type="gramStart"/>
      <w:r w:rsidRPr="000978F8">
        <w:rPr>
          <w:i w:val="0"/>
          <w:sz w:val="24"/>
          <w:szCs w:val="24"/>
          <w:vertAlign w:val="superscript"/>
        </w:rPr>
        <w:t>a</w:t>
      </w:r>
      <w:proofErr w:type="gramEnd"/>
      <w:r>
        <w:rPr>
          <w:i w:val="0"/>
          <w:sz w:val="24"/>
          <w:szCs w:val="24"/>
        </w:rPr>
        <w:t xml:space="preserve"> </w:t>
      </w:r>
      <w:proofErr w:type="spellStart"/>
      <w:r w:rsidRPr="00753072">
        <w:rPr>
          <w:i w:val="0"/>
          <w:sz w:val="24"/>
          <w:szCs w:val="24"/>
        </w:rPr>
        <w:t>A</w:t>
      </w:r>
      <w:proofErr w:type="spellEnd"/>
      <w:r w:rsidRPr="00753072">
        <w:rPr>
          <w:i w:val="0"/>
          <w:sz w:val="24"/>
          <w:szCs w:val="24"/>
        </w:rPr>
        <w:t xml:space="preserve"> metric ton (1,000 kilograms) is 1.10231 times larger than a short ton (2,000 pounds).</w:t>
      </w:r>
    </w:p>
    <w:p w14:paraId="051E53A4" w14:textId="0EAC4248" w:rsidR="003F43F1" w:rsidRDefault="003F43F1"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Figure 5. Trajectories of CO</w:t>
      </w:r>
      <w:r w:rsidRPr="00C40B08">
        <w:rPr>
          <w:rFonts w:ascii="Calibri" w:hAnsi="Calibri"/>
          <w:color w:val="auto"/>
          <w:sz w:val="24"/>
          <w:szCs w:val="24"/>
          <w:vertAlign w:val="subscript"/>
        </w:rPr>
        <w:t>2</w:t>
      </w:r>
      <w:r w:rsidRPr="00C40B08">
        <w:rPr>
          <w:rFonts w:ascii="Calibri" w:hAnsi="Calibri"/>
          <w:color w:val="auto"/>
          <w:sz w:val="24"/>
          <w:szCs w:val="24"/>
        </w:rPr>
        <w:t xml:space="preserve"> Emissions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61"/>
      </w:tblGrid>
      <w:tr w:rsidR="00CA6589" w:rsidRPr="00753072" w14:paraId="4DC4B44B" w14:textId="77777777" w:rsidTr="00CA6589">
        <w:tc>
          <w:tcPr>
            <w:tcW w:w="4788" w:type="dxa"/>
          </w:tcPr>
          <w:p w14:paraId="0BB75343" w14:textId="77777777" w:rsidR="00CA6589" w:rsidRPr="00DD766A" w:rsidRDefault="00CA6589" w:rsidP="000656C9">
            <w:pPr>
              <w:spacing w:line="276" w:lineRule="auto"/>
              <w:rPr>
                <w:rFonts w:asciiTheme="minorHAnsi" w:hAnsiTheme="minorHAnsi"/>
                <w:b/>
              </w:rPr>
            </w:pPr>
            <w:r>
              <w:rPr>
                <w:rFonts w:asciiTheme="minorHAnsi" w:hAnsiTheme="minorHAnsi"/>
                <w:b/>
                <w:noProof/>
              </w:rPr>
              <w:drawing>
                <wp:inline distT="0" distB="0" distL="0" distR="0" wp14:anchorId="189E830A" wp14:editId="1415E011">
                  <wp:extent cx="2971800" cy="39979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1.png"/>
                          <pic:cNvPicPr/>
                        </pic:nvPicPr>
                        <pic:blipFill>
                          <a:blip r:embed="rId17">
                            <a:extLst>
                              <a:ext uri="{28A0092B-C50C-407E-A947-70E740481C1C}">
                                <a14:useLocalDpi xmlns:a14="http://schemas.microsoft.com/office/drawing/2010/main" val="0"/>
                              </a:ext>
                            </a:extLst>
                          </a:blip>
                          <a:stretch>
                            <a:fillRect/>
                          </a:stretch>
                        </pic:blipFill>
                        <pic:spPr>
                          <a:xfrm>
                            <a:off x="0" y="0"/>
                            <a:ext cx="2972555" cy="3998976"/>
                          </a:xfrm>
                          <a:prstGeom prst="rect">
                            <a:avLst/>
                          </a:prstGeom>
                        </pic:spPr>
                      </pic:pic>
                    </a:graphicData>
                  </a:graphic>
                </wp:inline>
              </w:drawing>
            </w:r>
          </w:p>
        </w:tc>
        <w:tc>
          <w:tcPr>
            <w:tcW w:w="4788" w:type="dxa"/>
          </w:tcPr>
          <w:p w14:paraId="1301F946" w14:textId="77777777" w:rsidR="00CA6589" w:rsidRPr="00DD766A" w:rsidRDefault="00CA6589" w:rsidP="000656C9">
            <w:pPr>
              <w:spacing w:line="276" w:lineRule="auto"/>
              <w:rPr>
                <w:rFonts w:asciiTheme="minorHAnsi" w:hAnsiTheme="minorHAnsi"/>
                <w:b/>
              </w:rPr>
            </w:pPr>
            <w:r>
              <w:rPr>
                <w:rFonts w:asciiTheme="minorHAnsi" w:hAnsiTheme="minorHAnsi"/>
                <w:b/>
                <w:noProof/>
              </w:rPr>
              <w:drawing>
                <wp:inline distT="0" distB="0" distL="0" distR="0" wp14:anchorId="26419FF4" wp14:editId="3EA21AD3">
                  <wp:extent cx="2946400" cy="39922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2.png"/>
                          <pic:cNvPicPr/>
                        </pic:nvPicPr>
                        <pic:blipFill>
                          <a:blip r:embed="rId18">
                            <a:extLst>
                              <a:ext uri="{28A0092B-C50C-407E-A947-70E740481C1C}">
                                <a14:useLocalDpi xmlns:a14="http://schemas.microsoft.com/office/drawing/2010/main" val="0"/>
                              </a:ext>
                            </a:extLst>
                          </a:blip>
                          <a:stretch>
                            <a:fillRect/>
                          </a:stretch>
                        </pic:blipFill>
                        <pic:spPr>
                          <a:xfrm>
                            <a:off x="0" y="0"/>
                            <a:ext cx="2946869" cy="3992880"/>
                          </a:xfrm>
                          <a:prstGeom prst="rect">
                            <a:avLst/>
                          </a:prstGeom>
                        </pic:spPr>
                      </pic:pic>
                    </a:graphicData>
                  </a:graphic>
                </wp:inline>
              </w:drawing>
            </w:r>
          </w:p>
        </w:tc>
      </w:tr>
    </w:tbl>
    <w:p w14:paraId="5E981700" w14:textId="7312DDC4" w:rsidR="00CA6589" w:rsidRPr="000656C9" w:rsidRDefault="00CA6589" w:rsidP="000656C9">
      <w:pPr>
        <w:spacing w:line="276" w:lineRule="auto"/>
        <w:rPr>
          <w:rFonts w:asciiTheme="minorHAnsi" w:hAnsiTheme="minorHAnsi"/>
        </w:rPr>
      </w:pPr>
      <w:proofErr w:type="gramStart"/>
      <w:r w:rsidRPr="000978F8">
        <w:rPr>
          <w:rFonts w:asciiTheme="minorHAnsi" w:hAnsiTheme="minorHAnsi"/>
          <w:vertAlign w:val="superscript"/>
        </w:rPr>
        <w:t>a</w:t>
      </w:r>
      <w:proofErr w:type="gramEnd"/>
      <w:r w:rsidRPr="00753072">
        <w:rPr>
          <w:rFonts w:asciiTheme="minorHAnsi" w:hAnsiTheme="minorHAnsi"/>
        </w:rPr>
        <w:t xml:space="preserve"> CO</w:t>
      </w:r>
      <w:r w:rsidRPr="00753072">
        <w:rPr>
          <w:rFonts w:asciiTheme="minorHAnsi" w:hAnsiTheme="minorHAnsi"/>
          <w:vertAlign w:val="subscript"/>
        </w:rPr>
        <w:t>2</w:t>
      </w:r>
      <w:r w:rsidRPr="00753072">
        <w:rPr>
          <w:rFonts w:asciiTheme="minorHAnsi" w:hAnsiTheme="minorHAnsi"/>
        </w:rPr>
        <w:t xml:space="preserve"> emissions are calculate</w:t>
      </w:r>
      <w:r w:rsidR="000656C9">
        <w:rPr>
          <w:rFonts w:asciiTheme="minorHAnsi" w:hAnsiTheme="minorHAnsi"/>
        </w:rPr>
        <w:t>d for the lower 48 states only.</w:t>
      </w:r>
    </w:p>
    <w:p w14:paraId="42F31206" w14:textId="700CA9C6" w:rsidR="00776474" w:rsidRPr="00C40B08" w:rsidRDefault="00776474" w:rsidP="000656C9">
      <w:pPr>
        <w:spacing w:before="100" w:beforeAutospacing="1" w:after="100" w:afterAutospacing="1" w:line="276" w:lineRule="auto"/>
        <w:rPr>
          <w:rFonts w:ascii="Calibri" w:hAnsi="Calibri"/>
        </w:rPr>
      </w:pPr>
      <w:r w:rsidRPr="00C40B08">
        <w:rPr>
          <w:rFonts w:ascii="Calibri" w:hAnsi="Calibri"/>
        </w:rPr>
        <w:t xml:space="preserve">Figure </w:t>
      </w:r>
      <w:r w:rsidR="003F43F1" w:rsidRPr="00C40B08">
        <w:rPr>
          <w:rFonts w:ascii="Calibri" w:hAnsi="Calibri"/>
        </w:rPr>
        <w:t>5</w:t>
      </w:r>
      <w:r w:rsidR="003D61C2" w:rsidRPr="00C40B08">
        <w:rPr>
          <w:rFonts w:ascii="Calibri" w:hAnsi="Calibri"/>
        </w:rPr>
        <w:t xml:space="preserve"> distinguishes between emissions from </w:t>
      </w:r>
      <w:r w:rsidR="000C1F10" w:rsidRPr="00C40B08">
        <w:rPr>
          <w:rFonts w:ascii="Calibri" w:hAnsi="Calibri"/>
        </w:rPr>
        <w:t xml:space="preserve">fossil </w:t>
      </w:r>
      <w:r w:rsidR="002D3250" w:rsidRPr="00C40B08">
        <w:rPr>
          <w:rFonts w:ascii="Calibri" w:hAnsi="Calibri"/>
        </w:rPr>
        <w:t xml:space="preserve">EGUs </w:t>
      </w:r>
      <w:r w:rsidR="003D61C2" w:rsidRPr="00C40B08">
        <w:rPr>
          <w:rFonts w:ascii="Calibri" w:hAnsi="Calibri"/>
        </w:rPr>
        <w:t>that are</w:t>
      </w:r>
      <w:r w:rsidR="000C1F10" w:rsidRPr="00C40B08">
        <w:rPr>
          <w:rFonts w:ascii="Calibri" w:hAnsi="Calibri"/>
        </w:rPr>
        <w:t xml:space="preserve"> covered</w:t>
      </w:r>
      <w:r w:rsidR="003D61C2" w:rsidRPr="00C40B08">
        <w:rPr>
          <w:rFonts w:ascii="Calibri" w:hAnsi="Calibri"/>
        </w:rPr>
        <w:t xml:space="preserve"> by the </w:t>
      </w:r>
      <w:r w:rsidR="00AB55CA" w:rsidRPr="00C40B08">
        <w:rPr>
          <w:rFonts w:ascii="Calibri" w:hAnsi="Calibri"/>
        </w:rPr>
        <w:t xml:space="preserve">CPP </w:t>
      </w:r>
      <w:r w:rsidR="003D61C2" w:rsidRPr="00C40B08">
        <w:rPr>
          <w:rFonts w:ascii="Calibri" w:hAnsi="Calibri"/>
        </w:rPr>
        <w:t xml:space="preserve">and all </w:t>
      </w:r>
      <w:r w:rsidR="002D3250" w:rsidRPr="00C40B08">
        <w:rPr>
          <w:rFonts w:ascii="Calibri" w:hAnsi="Calibri"/>
        </w:rPr>
        <w:t>units</w:t>
      </w:r>
      <w:r w:rsidR="003D61C2" w:rsidRPr="00C40B08">
        <w:rPr>
          <w:rFonts w:ascii="Calibri" w:hAnsi="Calibri"/>
        </w:rPr>
        <w:t xml:space="preserve">, which include fossil units such as </w:t>
      </w:r>
      <w:r w:rsidR="002D3250" w:rsidRPr="00C40B08">
        <w:rPr>
          <w:rFonts w:ascii="Calibri" w:hAnsi="Calibri"/>
        </w:rPr>
        <w:t xml:space="preserve">small </w:t>
      </w:r>
      <w:r w:rsidR="003D61C2" w:rsidRPr="00C40B08">
        <w:rPr>
          <w:rFonts w:ascii="Calibri" w:hAnsi="Calibri"/>
        </w:rPr>
        <w:t>combustion turbines</w:t>
      </w:r>
      <w:r w:rsidR="00961F4C" w:rsidRPr="00C40B08">
        <w:rPr>
          <w:rFonts w:ascii="Calibri" w:hAnsi="Calibri"/>
        </w:rPr>
        <w:t xml:space="preserve"> that are not </w:t>
      </w:r>
      <w:r w:rsidR="003F43F1" w:rsidRPr="00C40B08">
        <w:rPr>
          <w:rFonts w:ascii="Calibri" w:hAnsi="Calibri"/>
        </w:rPr>
        <w:t xml:space="preserve">regulated </w:t>
      </w:r>
      <w:r w:rsidR="009B543E" w:rsidRPr="00C40B08">
        <w:rPr>
          <w:rFonts w:ascii="Calibri" w:hAnsi="Calibri"/>
        </w:rPr>
        <w:t>under</w:t>
      </w:r>
      <w:r w:rsidR="000C1F10" w:rsidRPr="00C40B08">
        <w:rPr>
          <w:rFonts w:ascii="Calibri" w:hAnsi="Calibri"/>
        </w:rPr>
        <w:t xml:space="preserve"> the CPP</w:t>
      </w:r>
      <w:r w:rsidR="003D61C2" w:rsidRPr="00C40B08">
        <w:rPr>
          <w:rFonts w:ascii="Calibri" w:hAnsi="Calibri"/>
        </w:rPr>
        <w:t xml:space="preserve">. Emissions </w:t>
      </w:r>
      <w:r w:rsidR="00C51ABF" w:rsidRPr="00C40B08">
        <w:rPr>
          <w:rFonts w:ascii="Calibri" w:hAnsi="Calibri"/>
        </w:rPr>
        <w:t xml:space="preserve">from </w:t>
      </w:r>
      <w:r w:rsidR="003D61C2" w:rsidRPr="00C40B08">
        <w:rPr>
          <w:rFonts w:ascii="Calibri" w:hAnsi="Calibri"/>
        </w:rPr>
        <w:t xml:space="preserve">affected units decline steeply from 2022 through 2030, when the mass-based goals are </w:t>
      </w:r>
      <w:r w:rsidR="004D7C16" w:rsidRPr="00C40B08">
        <w:rPr>
          <w:rFonts w:ascii="Calibri" w:hAnsi="Calibri"/>
        </w:rPr>
        <w:t xml:space="preserve">assumed to be </w:t>
      </w:r>
      <w:r w:rsidR="003D61C2" w:rsidRPr="00C40B08">
        <w:rPr>
          <w:rFonts w:ascii="Calibri" w:hAnsi="Calibri"/>
        </w:rPr>
        <w:t xml:space="preserve">imposed as a standalone policy. </w:t>
      </w:r>
      <w:r w:rsidR="00C51ABF" w:rsidRPr="00C40B08">
        <w:rPr>
          <w:rFonts w:ascii="Calibri" w:hAnsi="Calibri"/>
        </w:rPr>
        <w:t>They</w:t>
      </w:r>
      <w:r w:rsidR="009B543E" w:rsidRPr="00C40B08">
        <w:rPr>
          <w:rFonts w:ascii="Calibri" w:hAnsi="Calibri"/>
        </w:rPr>
        <w:t xml:space="preserve"> </w:t>
      </w:r>
      <w:r w:rsidR="003D61C2" w:rsidRPr="00C40B08">
        <w:rPr>
          <w:rFonts w:ascii="Calibri" w:hAnsi="Calibri"/>
        </w:rPr>
        <w:t>begin to decline earlier under the scenarios</w:t>
      </w:r>
      <w:r w:rsidR="004D7C16" w:rsidRPr="00C40B08">
        <w:rPr>
          <w:rFonts w:ascii="Calibri" w:hAnsi="Calibri"/>
        </w:rPr>
        <w:t xml:space="preserve"> with strong energy-efficiency policies.</w:t>
      </w:r>
    </w:p>
    <w:p w14:paraId="3B0F66BB" w14:textId="53A87FDB" w:rsidR="003D61C2" w:rsidRPr="00C40B08" w:rsidRDefault="003D61C2" w:rsidP="000656C9">
      <w:pPr>
        <w:spacing w:before="100" w:beforeAutospacing="1" w:after="100" w:afterAutospacing="1" w:line="276" w:lineRule="auto"/>
        <w:rPr>
          <w:rFonts w:ascii="Calibri" w:hAnsi="Calibri"/>
        </w:rPr>
      </w:pPr>
      <w:r w:rsidRPr="00C40B08">
        <w:rPr>
          <w:rFonts w:ascii="Calibri" w:hAnsi="Calibri"/>
        </w:rPr>
        <w:t>Following the global economic downturn of 2008 and fuel switching away from co</w:t>
      </w:r>
      <w:r w:rsidR="00492E3A" w:rsidRPr="00C40B08">
        <w:rPr>
          <w:rFonts w:ascii="Calibri" w:hAnsi="Calibri"/>
        </w:rPr>
        <w:t xml:space="preserve">al to low-cost natural gas, </w:t>
      </w:r>
      <w:r w:rsidRPr="00C40B08">
        <w:rPr>
          <w:rFonts w:ascii="Calibri" w:hAnsi="Calibri"/>
        </w:rPr>
        <w:t>CO</w:t>
      </w:r>
      <w:r w:rsidRPr="00C40B08">
        <w:rPr>
          <w:rFonts w:ascii="Calibri" w:hAnsi="Calibri"/>
          <w:vertAlign w:val="subscript"/>
        </w:rPr>
        <w:t>2</w:t>
      </w:r>
      <w:r w:rsidRPr="00C40B08">
        <w:rPr>
          <w:rFonts w:ascii="Calibri" w:hAnsi="Calibri"/>
        </w:rPr>
        <w:t xml:space="preserve"> emissions</w:t>
      </w:r>
      <w:r w:rsidR="00492E3A" w:rsidRPr="00C40B08">
        <w:rPr>
          <w:rFonts w:ascii="Calibri" w:hAnsi="Calibri"/>
        </w:rPr>
        <w:t xml:space="preserve"> in the U.S. declined;</w:t>
      </w:r>
      <w:r w:rsidRPr="00C40B08">
        <w:rPr>
          <w:rFonts w:ascii="Calibri" w:hAnsi="Calibri"/>
        </w:rPr>
        <w:t xml:space="preserve"> the electric sector in 2012 emitted 2,243 short tons of CO</w:t>
      </w:r>
      <w:r w:rsidRPr="00C40B08">
        <w:rPr>
          <w:rFonts w:ascii="Calibri" w:hAnsi="Calibri"/>
          <w:vertAlign w:val="subscript"/>
        </w:rPr>
        <w:t>2</w:t>
      </w:r>
      <w:r w:rsidRPr="00C40B08">
        <w:rPr>
          <w:rFonts w:ascii="Calibri" w:hAnsi="Calibri"/>
        </w:rPr>
        <w:t xml:space="preserve">, down 16% from the 2,664 tons of emissions in 2005. But as the economy </w:t>
      </w:r>
      <w:r w:rsidR="00C51ABF" w:rsidRPr="00C40B08">
        <w:rPr>
          <w:rFonts w:ascii="Calibri" w:hAnsi="Calibri"/>
        </w:rPr>
        <w:t xml:space="preserve">recovers </w:t>
      </w:r>
      <w:r w:rsidRPr="00C40B08">
        <w:rPr>
          <w:rFonts w:ascii="Calibri" w:hAnsi="Calibri"/>
        </w:rPr>
        <w:t xml:space="preserve">going forward, </w:t>
      </w:r>
      <w:r w:rsidR="00C51ABF" w:rsidRPr="00C40B08">
        <w:rPr>
          <w:rFonts w:ascii="Calibri" w:hAnsi="Calibri"/>
        </w:rPr>
        <w:t xml:space="preserve">the </w:t>
      </w:r>
      <w:r w:rsidR="00492E3A" w:rsidRPr="00C40B08">
        <w:rPr>
          <w:rFonts w:ascii="Calibri" w:hAnsi="Calibri"/>
        </w:rPr>
        <w:t>R</w:t>
      </w:r>
      <w:r w:rsidR="00587007" w:rsidRPr="00C40B08">
        <w:rPr>
          <w:rFonts w:ascii="Calibri" w:hAnsi="Calibri"/>
        </w:rPr>
        <w:t>eference case forecasts</w:t>
      </w:r>
      <w:r w:rsidRPr="00C40B08">
        <w:rPr>
          <w:rFonts w:ascii="Calibri" w:hAnsi="Calibri"/>
        </w:rPr>
        <w:t xml:space="preserve"> that CO</w:t>
      </w:r>
      <w:r w:rsidRPr="00C40B08">
        <w:rPr>
          <w:rFonts w:ascii="Calibri" w:hAnsi="Calibri"/>
          <w:vertAlign w:val="subscript"/>
        </w:rPr>
        <w:t>2</w:t>
      </w:r>
      <w:r w:rsidRPr="00C40B08">
        <w:rPr>
          <w:rFonts w:ascii="Calibri" w:hAnsi="Calibri"/>
        </w:rPr>
        <w:t xml:space="preserve"> emissions </w:t>
      </w:r>
      <w:r w:rsidR="00492E3A" w:rsidRPr="00C40B08">
        <w:rPr>
          <w:rFonts w:ascii="Calibri" w:hAnsi="Calibri"/>
        </w:rPr>
        <w:t xml:space="preserve">from the electric sector </w:t>
      </w:r>
      <w:r w:rsidRPr="00C40B08">
        <w:rPr>
          <w:rFonts w:ascii="Calibri" w:hAnsi="Calibri"/>
        </w:rPr>
        <w:t>will rise, producing an upward trajectory of CO</w:t>
      </w:r>
      <w:r w:rsidRPr="00C40B08">
        <w:rPr>
          <w:rFonts w:ascii="Calibri" w:hAnsi="Calibri"/>
          <w:vertAlign w:val="subscript"/>
        </w:rPr>
        <w:t>2</w:t>
      </w:r>
      <w:r w:rsidRPr="00C40B08">
        <w:rPr>
          <w:rFonts w:ascii="Calibri" w:hAnsi="Calibri"/>
        </w:rPr>
        <w:t xml:space="preserve"> emissions that is inconsistent with long-term climate change goals.</w:t>
      </w:r>
    </w:p>
    <w:p w14:paraId="604C2491" w14:textId="7A023AE4" w:rsidR="003D61C2" w:rsidRPr="00C40B08" w:rsidRDefault="003D61C2" w:rsidP="000656C9">
      <w:pPr>
        <w:spacing w:before="100" w:beforeAutospacing="1" w:after="100" w:afterAutospacing="1" w:line="276" w:lineRule="auto"/>
        <w:rPr>
          <w:rFonts w:ascii="Calibri" w:hAnsi="Calibri"/>
        </w:rPr>
      </w:pPr>
      <w:r w:rsidRPr="00C40B08">
        <w:rPr>
          <w:rFonts w:ascii="Calibri" w:hAnsi="Calibri"/>
        </w:rPr>
        <w:t>The CO</w:t>
      </w:r>
      <w:r w:rsidRPr="00C40B08">
        <w:rPr>
          <w:rFonts w:ascii="Calibri" w:hAnsi="Calibri"/>
          <w:vertAlign w:val="subscript"/>
        </w:rPr>
        <w:t>2</w:t>
      </w:r>
      <w:r w:rsidRPr="00C40B08">
        <w:rPr>
          <w:rFonts w:ascii="Calibri" w:hAnsi="Calibri"/>
        </w:rPr>
        <w:t xml:space="preserve"> emissions that could result from a range of alternative scenarios are shown in Table </w:t>
      </w:r>
      <w:r w:rsidR="00D44075" w:rsidRPr="00C40B08">
        <w:rPr>
          <w:rFonts w:ascii="Calibri" w:hAnsi="Calibri"/>
        </w:rPr>
        <w:t>4</w:t>
      </w:r>
      <w:r w:rsidRPr="00C40B08">
        <w:rPr>
          <w:rFonts w:ascii="Calibri" w:hAnsi="Calibri"/>
        </w:rPr>
        <w:t>. The scenario that limits emissions from both existing and new units (that is,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-All” scenario) would result in power sector CO</w:t>
      </w:r>
      <w:r w:rsidRPr="00C40B08">
        <w:rPr>
          <w:rFonts w:ascii="Calibri" w:hAnsi="Calibri"/>
          <w:vertAlign w:val="subscript"/>
        </w:rPr>
        <w:t>2</w:t>
      </w:r>
      <w:r w:rsidRPr="00C40B08">
        <w:rPr>
          <w:rFonts w:ascii="Calibri" w:hAnsi="Calibri"/>
        </w:rPr>
        <w:t xml:space="preserve"> emissions of only 1,802 short tons in 2030, 32% less </w:t>
      </w:r>
      <w:r w:rsidRPr="00C40B08">
        <w:rPr>
          <w:rFonts w:ascii="Calibri" w:hAnsi="Calibri"/>
        </w:rPr>
        <w:lastRenderedPageBreak/>
        <w:t>than in 2005 and 20% less than in 2012. This is the magnitude of reductions forecast in EPA (2015</w:t>
      </w:r>
      <w:r w:rsidR="00961F4C" w:rsidRPr="00C40B08">
        <w:rPr>
          <w:rFonts w:ascii="Calibri" w:hAnsi="Calibri"/>
        </w:rPr>
        <w:t>a</w:t>
      </w:r>
      <w:r w:rsidRPr="00C40B08">
        <w:rPr>
          <w:rFonts w:ascii="Calibri" w:hAnsi="Calibri"/>
        </w:rPr>
        <w:t xml:space="preserve">)’s Regulatory Impact Analysis. By adding </w:t>
      </w:r>
      <w:r w:rsidR="00961F4C" w:rsidRPr="00C40B08">
        <w:rPr>
          <w:rFonts w:ascii="Calibri" w:hAnsi="Calibri"/>
        </w:rPr>
        <w:t>strong energy-efficiency policies</w:t>
      </w:r>
      <w:r w:rsidR="00492E3A" w:rsidRPr="00C40B08">
        <w:rPr>
          <w:rFonts w:ascii="Calibri" w:hAnsi="Calibri"/>
        </w:rPr>
        <w:t xml:space="preserve"> to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-All” scenario, CO</w:t>
      </w:r>
      <w:r w:rsidRPr="00C40B08">
        <w:rPr>
          <w:rFonts w:ascii="Calibri" w:hAnsi="Calibri"/>
          <w:vertAlign w:val="subscript"/>
        </w:rPr>
        <w:t>2</w:t>
      </w:r>
      <w:r w:rsidRPr="00C40B08">
        <w:rPr>
          <w:rFonts w:ascii="Calibri" w:hAnsi="Calibri"/>
        </w:rPr>
        <w:t xml:space="preserve"> emissions are reduced further, by 34% relative to 2005 and 21% relative to 2012.</w:t>
      </w:r>
    </w:p>
    <w:p w14:paraId="4A68BA91" w14:textId="0FAA3217" w:rsidR="003D61C2" w:rsidRPr="00C40B08" w:rsidRDefault="003D61C2" w:rsidP="000656C9">
      <w:pPr>
        <w:spacing w:before="100" w:beforeAutospacing="1" w:after="100" w:afterAutospacing="1" w:line="276" w:lineRule="auto"/>
        <w:rPr>
          <w:rFonts w:ascii="Calibri" w:hAnsi="Calibri"/>
        </w:rPr>
      </w:pPr>
      <w:r w:rsidRPr="00C40B08">
        <w:rPr>
          <w:rFonts w:ascii="Calibri" w:hAnsi="Calibri"/>
        </w:rPr>
        <w:t>Electric-sector emissions are higher when only existing units are regulated, as shown by the “</w:t>
      </w:r>
      <w:r w:rsidR="00A10DA0" w:rsidRPr="00C40B08">
        <w:rPr>
          <w:rFonts w:ascii="Calibri" w:hAnsi="Calibri"/>
        </w:rPr>
        <w:t>CO</w:t>
      </w:r>
      <w:r w:rsidR="00A10DA0" w:rsidRPr="00C40B08">
        <w:rPr>
          <w:rFonts w:ascii="Calibri" w:hAnsi="Calibri"/>
          <w:vertAlign w:val="subscript"/>
        </w:rPr>
        <w:t>2</w:t>
      </w:r>
      <w:r w:rsidR="00A10DA0" w:rsidRPr="00C40B08">
        <w:rPr>
          <w:rFonts w:ascii="Calibri" w:hAnsi="Calibri"/>
        </w:rPr>
        <w:t>-Cap</w:t>
      </w:r>
      <w:r w:rsidRPr="00C40B08">
        <w:rPr>
          <w:rFonts w:ascii="Calibri" w:hAnsi="Calibri"/>
        </w:rPr>
        <w:t>-Existing” scenario in Table 2, which results in 1,979 million short tons of CO</w:t>
      </w:r>
      <w:r w:rsidRPr="00C40B08">
        <w:rPr>
          <w:rFonts w:ascii="Calibri" w:hAnsi="Calibri"/>
          <w:vertAlign w:val="subscript"/>
        </w:rPr>
        <w:t>2</w:t>
      </w:r>
      <w:r w:rsidRPr="00C40B08">
        <w:rPr>
          <w:rFonts w:ascii="Calibri" w:hAnsi="Calibri"/>
        </w:rPr>
        <w:t xml:space="preserve"> emissions in 2030. This is 177 million short tons of CO</w:t>
      </w:r>
      <w:r w:rsidRPr="00C40B08">
        <w:rPr>
          <w:rFonts w:ascii="Calibri" w:hAnsi="Calibri"/>
          <w:vertAlign w:val="subscript"/>
        </w:rPr>
        <w:t>2</w:t>
      </w:r>
      <w:r w:rsidRPr="00C40B08">
        <w:rPr>
          <w:rFonts w:ascii="Calibri" w:hAnsi="Calibri"/>
        </w:rPr>
        <w:t xml:space="preserve"> more than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-All scenario, when emissions of all units are regulated</w:t>
      </w:r>
      <w:r w:rsidR="004C7080" w:rsidRPr="00C40B08">
        <w:rPr>
          <w:rFonts w:ascii="Calibri" w:hAnsi="Calibri"/>
        </w:rPr>
        <w:t>; it</w:t>
      </w:r>
      <w:r w:rsidRPr="00C40B08">
        <w:rPr>
          <w:rFonts w:ascii="Calibri" w:hAnsi="Calibri"/>
        </w:rPr>
        <w:t xml:space="preserve"> is a reduction of only 26% less than in 2005 (12% less than in 2012)</w:t>
      </w:r>
      <w:r w:rsidR="004C7080" w:rsidRPr="00C40B08">
        <w:rPr>
          <w:rFonts w:ascii="Calibri" w:hAnsi="Calibri"/>
        </w:rPr>
        <w:t>, which would significantly weaken the policy</w:t>
      </w:r>
      <w:r w:rsidRPr="00C40B08">
        <w:rPr>
          <w:rFonts w:ascii="Calibri" w:hAnsi="Calibri"/>
        </w:rPr>
        <w:t xml:space="preserve">. </w:t>
      </w:r>
      <w:r w:rsidR="002B6AB1" w:rsidRPr="00C40B08">
        <w:rPr>
          <w:rFonts w:ascii="Calibri" w:hAnsi="Calibri"/>
        </w:rPr>
        <w:t xml:space="preserve">When strong energy-efficiency policies are added to the </w:t>
      </w:r>
      <w:r w:rsidR="00F22D51" w:rsidRPr="00C40B08">
        <w:rPr>
          <w:rFonts w:ascii="Calibri" w:hAnsi="Calibri"/>
        </w:rPr>
        <w:t>CO</w:t>
      </w:r>
      <w:r w:rsidR="00F22D51" w:rsidRPr="00C40B08">
        <w:rPr>
          <w:rFonts w:ascii="Calibri" w:hAnsi="Calibri"/>
          <w:vertAlign w:val="subscript"/>
        </w:rPr>
        <w:t>2</w:t>
      </w:r>
      <w:r w:rsidR="00F22D51" w:rsidRPr="00C40B08">
        <w:rPr>
          <w:rFonts w:ascii="Calibri" w:hAnsi="Calibri"/>
        </w:rPr>
        <w:t>-Cap</w:t>
      </w:r>
      <w:r w:rsidR="002B6AB1" w:rsidRPr="00C40B08">
        <w:rPr>
          <w:rFonts w:ascii="Calibri" w:hAnsi="Calibri"/>
        </w:rPr>
        <w:t xml:space="preserve">-Existing scenario, carbon leakage drops from </w:t>
      </w:r>
      <w:r w:rsidR="004C7080" w:rsidRPr="00C40B08">
        <w:rPr>
          <w:rFonts w:ascii="Calibri" w:hAnsi="Calibri"/>
        </w:rPr>
        <w:t xml:space="preserve">177 to </w:t>
      </w:r>
      <w:r w:rsidR="002B6AB1" w:rsidRPr="00C40B08">
        <w:rPr>
          <w:rFonts w:ascii="Calibri" w:hAnsi="Calibri"/>
        </w:rPr>
        <w:t xml:space="preserve">32 million </w:t>
      </w:r>
      <w:r w:rsidR="004C7080" w:rsidRPr="00C40B08">
        <w:rPr>
          <w:rFonts w:ascii="Calibri" w:hAnsi="Calibri"/>
        </w:rPr>
        <w:t>short</w:t>
      </w:r>
      <w:r w:rsidR="002B6AB1" w:rsidRPr="00C40B08">
        <w:rPr>
          <w:rFonts w:ascii="Calibri" w:hAnsi="Calibri"/>
        </w:rPr>
        <w:t xml:space="preserve"> tons of CO</w:t>
      </w:r>
      <w:r w:rsidR="002B6AB1" w:rsidRPr="00C40B08">
        <w:rPr>
          <w:rFonts w:ascii="Calibri" w:hAnsi="Calibri"/>
          <w:vertAlign w:val="subscript"/>
        </w:rPr>
        <w:t>2</w:t>
      </w:r>
      <w:r w:rsidR="002B6AB1" w:rsidRPr="00C40B08">
        <w:rPr>
          <w:rFonts w:ascii="Calibri" w:hAnsi="Calibri"/>
        </w:rPr>
        <w:t xml:space="preserve"> (an 82% reduction), indicating that the magnitude of leakage could indeed be reduced by measures that decrease future demand such as energy efficiency.</w:t>
      </w:r>
      <w:r w:rsidR="00DF2C2B" w:rsidRPr="00C40B08">
        <w:rPr>
          <w:rFonts w:ascii="Calibri" w:hAnsi="Calibri"/>
        </w:rPr>
        <w:t xml:space="preserve"> Wright and </w:t>
      </w:r>
      <w:proofErr w:type="spellStart"/>
      <w:r w:rsidR="00DF2C2B" w:rsidRPr="00C40B08">
        <w:rPr>
          <w:rFonts w:ascii="Calibri" w:hAnsi="Calibri"/>
        </w:rPr>
        <w:t>Kanudia</w:t>
      </w:r>
      <w:proofErr w:type="spellEnd"/>
      <w:r w:rsidR="00DF2C2B" w:rsidRPr="00C40B08">
        <w:rPr>
          <w:rFonts w:ascii="Calibri" w:hAnsi="Calibri"/>
        </w:rPr>
        <w:t xml:space="preserve"> (2016) concluded that mass-based designs that </w:t>
      </w:r>
      <w:r w:rsidR="000C3D26" w:rsidRPr="00C40B08">
        <w:rPr>
          <w:rFonts w:ascii="Calibri" w:hAnsi="Calibri"/>
        </w:rPr>
        <w:t>exclude</w:t>
      </w:r>
      <w:r w:rsidR="00DF2C2B" w:rsidRPr="00C40B08">
        <w:rPr>
          <w:rFonts w:ascii="Calibri" w:hAnsi="Calibri"/>
        </w:rPr>
        <w:t xml:space="preserve"> new NGCC plants </w:t>
      </w:r>
      <w:r w:rsidR="000C3D26" w:rsidRPr="00C40B08">
        <w:rPr>
          <w:rFonts w:ascii="Calibri" w:hAnsi="Calibri"/>
        </w:rPr>
        <w:t>from</w:t>
      </w:r>
      <w:r w:rsidR="00DF2C2B" w:rsidRPr="00C40B08">
        <w:rPr>
          <w:rFonts w:ascii="Calibri" w:hAnsi="Calibri"/>
        </w:rPr>
        <w:t xml:space="preserve"> their goals were among their highest emissions scenarios (reducing emissions by only 6-8% below 2012 levels by 2032</w:t>
      </w:r>
      <w:r w:rsidR="000C3D26" w:rsidRPr="00C40B08">
        <w:rPr>
          <w:rFonts w:ascii="Calibri" w:hAnsi="Calibri"/>
        </w:rPr>
        <w:t>)</w:t>
      </w:r>
      <w:r w:rsidR="00A73C27" w:rsidRPr="00C40B08">
        <w:rPr>
          <w:rFonts w:ascii="Calibri" w:hAnsi="Calibri"/>
        </w:rPr>
        <w:t xml:space="preserve">, which </w:t>
      </w:r>
      <w:r w:rsidR="00DF2C2B" w:rsidRPr="00C40B08">
        <w:rPr>
          <w:rFonts w:ascii="Calibri" w:hAnsi="Calibri"/>
        </w:rPr>
        <w:t>suggests a much higher level of leakage</w:t>
      </w:r>
      <w:r w:rsidR="00A73C27" w:rsidRPr="00C40B08">
        <w:rPr>
          <w:rFonts w:ascii="Calibri" w:hAnsi="Calibri"/>
        </w:rPr>
        <w:t xml:space="preserve"> than we documented. Their exogenous modeling of energy efficiency concluded that </w:t>
      </w:r>
      <w:r w:rsidR="00DF2C2B" w:rsidRPr="00C40B08">
        <w:rPr>
          <w:rFonts w:ascii="Calibri" w:hAnsi="Calibri"/>
        </w:rPr>
        <w:t>energy efficiency could reduce new source leakage</w:t>
      </w:r>
      <w:r w:rsidR="00A874C4" w:rsidRPr="00C40B08">
        <w:rPr>
          <w:rFonts w:ascii="Calibri" w:hAnsi="Calibri"/>
        </w:rPr>
        <w:t xml:space="preserve">. Our endogenous modeling of energy efficiency substantiates this claim, linking the reduced leakage to the reduced </w:t>
      </w:r>
      <w:r w:rsidR="00A73C27" w:rsidRPr="00C40B08">
        <w:rPr>
          <w:rFonts w:ascii="Calibri" w:hAnsi="Calibri"/>
        </w:rPr>
        <w:t>need for new capacity builds</w:t>
      </w:r>
      <w:r w:rsidR="00DF2C2B" w:rsidRPr="00C40B08">
        <w:rPr>
          <w:rFonts w:ascii="Calibri" w:hAnsi="Calibri"/>
        </w:rPr>
        <w:t xml:space="preserve">. </w:t>
      </w:r>
    </w:p>
    <w:p w14:paraId="0D129A6A" w14:textId="564296B4" w:rsidR="00423691" w:rsidRPr="00C40B08" w:rsidRDefault="00053F80" w:rsidP="000656C9">
      <w:pPr>
        <w:pStyle w:val="ListParagraph"/>
        <w:spacing w:before="100" w:beforeAutospacing="1" w:after="100" w:afterAutospacing="1" w:line="276" w:lineRule="auto"/>
        <w:outlineLvl w:val="1"/>
        <w:rPr>
          <w:rFonts w:ascii="Calibri" w:hAnsi="Calibri"/>
          <w:b/>
          <w:i/>
          <w:sz w:val="24"/>
          <w:szCs w:val="24"/>
        </w:rPr>
      </w:pPr>
      <w:r w:rsidRPr="00C40B08">
        <w:rPr>
          <w:rFonts w:ascii="Calibri" w:hAnsi="Calibri"/>
          <w:b/>
          <w:sz w:val="24"/>
          <w:szCs w:val="24"/>
        </w:rPr>
        <w:t xml:space="preserve">5.4 </w:t>
      </w:r>
      <w:r w:rsidR="00284D74" w:rsidRPr="00C40B08">
        <w:rPr>
          <w:rFonts w:ascii="Calibri" w:hAnsi="Calibri"/>
          <w:b/>
          <w:i/>
          <w:sz w:val="24"/>
          <w:szCs w:val="24"/>
        </w:rPr>
        <w:t>Compliance</w:t>
      </w:r>
      <w:r w:rsidR="00A2216A" w:rsidRPr="00C40B08">
        <w:rPr>
          <w:rFonts w:ascii="Calibri" w:hAnsi="Calibri"/>
          <w:b/>
          <w:i/>
          <w:sz w:val="24"/>
          <w:szCs w:val="24"/>
        </w:rPr>
        <w:t xml:space="preserve"> with CO</w:t>
      </w:r>
      <w:r w:rsidR="00A2216A" w:rsidRPr="00C40B08">
        <w:rPr>
          <w:rFonts w:ascii="Calibri" w:hAnsi="Calibri"/>
          <w:b/>
          <w:i/>
          <w:sz w:val="24"/>
          <w:szCs w:val="24"/>
          <w:vertAlign w:val="subscript"/>
        </w:rPr>
        <w:t>2</w:t>
      </w:r>
      <w:r w:rsidR="00A2216A" w:rsidRPr="00C40B08">
        <w:rPr>
          <w:rFonts w:ascii="Calibri" w:hAnsi="Calibri"/>
          <w:b/>
          <w:i/>
          <w:sz w:val="24"/>
          <w:szCs w:val="24"/>
        </w:rPr>
        <w:t xml:space="preserve"> Caps</w:t>
      </w:r>
      <w:r w:rsidR="00284D74" w:rsidRPr="00C40B08">
        <w:rPr>
          <w:rFonts w:ascii="Calibri" w:hAnsi="Calibri"/>
          <w:b/>
          <w:i/>
          <w:sz w:val="24"/>
          <w:szCs w:val="24"/>
        </w:rPr>
        <w:t xml:space="preserve"> Increases </w:t>
      </w:r>
      <w:r w:rsidR="00423691" w:rsidRPr="00C40B08">
        <w:rPr>
          <w:rFonts w:ascii="Calibri" w:hAnsi="Calibri"/>
          <w:b/>
          <w:i/>
          <w:sz w:val="24"/>
          <w:szCs w:val="24"/>
        </w:rPr>
        <w:t xml:space="preserve">Abatement </w:t>
      </w:r>
      <w:r w:rsidR="00284D74" w:rsidRPr="00C40B08">
        <w:rPr>
          <w:rFonts w:ascii="Calibri" w:hAnsi="Calibri"/>
          <w:b/>
          <w:i/>
          <w:sz w:val="24"/>
          <w:szCs w:val="24"/>
        </w:rPr>
        <w:t>of Non-CO</w:t>
      </w:r>
      <w:r w:rsidR="00284D74" w:rsidRPr="00C40B08">
        <w:rPr>
          <w:rFonts w:ascii="Calibri" w:hAnsi="Calibri"/>
          <w:b/>
          <w:i/>
          <w:sz w:val="24"/>
          <w:szCs w:val="24"/>
          <w:vertAlign w:val="subscript"/>
        </w:rPr>
        <w:t>2</w:t>
      </w:r>
      <w:r w:rsidR="00284D74" w:rsidRPr="00C40B08">
        <w:rPr>
          <w:rFonts w:ascii="Calibri" w:hAnsi="Calibri"/>
          <w:b/>
          <w:i/>
          <w:sz w:val="24"/>
          <w:szCs w:val="24"/>
        </w:rPr>
        <w:t xml:space="preserve"> Pollutants</w:t>
      </w:r>
    </w:p>
    <w:p w14:paraId="1DBA8AAF" w14:textId="0F8A1089" w:rsidR="00423691" w:rsidRPr="00C40B08" w:rsidRDefault="00423691" w:rsidP="000656C9">
      <w:pPr>
        <w:spacing w:before="100" w:beforeAutospacing="1" w:after="100" w:afterAutospacing="1" w:line="276" w:lineRule="auto"/>
        <w:rPr>
          <w:rFonts w:ascii="Calibri" w:hAnsi="Calibri"/>
        </w:rPr>
      </w:pPr>
      <w:r w:rsidRPr="00C40B08">
        <w:rPr>
          <w:rFonts w:ascii="Calibri" w:hAnsi="Calibri"/>
        </w:rPr>
        <w:t xml:space="preserve">Overall, </w:t>
      </w:r>
      <w:r w:rsidR="00A2216A" w:rsidRPr="00C40B08">
        <w:rPr>
          <w:rFonts w:ascii="Calibri" w:hAnsi="Calibri"/>
        </w:rPr>
        <w:t>compliance with CO</w:t>
      </w:r>
      <w:r w:rsidR="00A2216A" w:rsidRPr="00C40B08">
        <w:rPr>
          <w:rFonts w:ascii="Calibri" w:hAnsi="Calibri"/>
          <w:vertAlign w:val="subscript"/>
        </w:rPr>
        <w:t>2</w:t>
      </w:r>
      <w:r w:rsidR="00A2216A" w:rsidRPr="00C40B08">
        <w:rPr>
          <w:rFonts w:ascii="Calibri" w:hAnsi="Calibri"/>
        </w:rPr>
        <w:t xml:space="preserve"> Caps</w:t>
      </w:r>
      <w:r w:rsidR="00AB55CA" w:rsidRPr="00C40B08">
        <w:rPr>
          <w:rFonts w:ascii="Calibri" w:hAnsi="Calibri"/>
        </w:rPr>
        <w:t xml:space="preserve"> </w:t>
      </w:r>
      <w:r w:rsidRPr="00C40B08">
        <w:rPr>
          <w:rFonts w:ascii="Calibri" w:hAnsi="Calibri"/>
        </w:rPr>
        <w:t>is expected to reduce emissions of CO</w:t>
      </w:r>
      <w:r w:rsidRPr="00C40B08">
        <w:rPr>
          <w:rFonts w:ascii="Calibri" w:hAnsi="Calibri"/>
          <w:vertAlign w:val="subscript"/>
        </w:rPr>
        <w:t>2</w:t>
      </w:r>
      <w:r w:rsidRPr="00C40B08">
        <w:rPr>
          <w:rFonts w:ascii="Calibri" w:hAnsi="Calibri"/>
        </w:rPr>
        <w:t xml:space="preserve"> and also to produce co-benefits associated with </w:t>
      </w:r>
      <w:r w:rsidR="00961F4C" w:rsidRPr="00C40B08">
        <w:rPr>
          <w:rFonts w:ascii="Calibri" w:hAnsi="Calibri"/>
        </w:rPr>
        <w:t>lower local air pollution. The</w:t>
      </w:r>
      <w:r w:rsidRPr="00C40B08">
        <w:rPr>
          <w:rFonts w:ascii="Calibri" w:hAnsi="Calibri"/>
        </w:rPr>
        <w:t xml:space="preserve"> </w:t>
      </w:r>
      <w:r w:rsidR="004D7C16" w:rsidRPr="00C40B08">
        <w:rPr>
          <w:rFonts w:ascii="Calibri" w:hAnsi="Calibri"/>
        </w:rPr>
        <w:t xml:space="preserve">co-benefits </w:t>
      </w:r>
      <w:r w:rsidRPr="00C40B08">
        <w:rPr>
          <w:rFonts w:ascii="Calibri" w:hAnsi="Calibri"/>
        </w:rPr>
        <w:t xml:space="preserve">estimated </w:t>
      </w:r>
      <w:r w:rsidR="00961F4C" w:rsidRPr="00C40B08">
        <w:rPr>
          <w:rFonts w:ascii="Calibri" w:hAnsi="Calibri"/>
        </w:rPr>
        <w:t>here are</w:t>
      </w:r>
      <w:r w:rsidR="004D7C16" w:rsidRPr="00C40B08">
        <w:rPr>
          <w:rFonts w:ascii="Calibri" w:hAnsi="Calibri"/>
        </w:rPr>
        <w:t xml:space="preserve"> the </w:t>
      </w:r>
      <w:r w:rsidRPr="00C40B08">
        <w:rPr>
          <w:rFonts w:ascii="Calibri" w:hAnsi="Calibri"/>
        </w:rPr>
        <w:t xml:space="preserve">benefits </w:t>
      </w:r>
      <w:r w:rsidR="004D7C16" w:rsidRPr="00C40B08">
        <w:rPr>
          <w:rFonts w:ascii="Calibri" w:hAnsi="Calibri"/>
        </w:rPr>
        <w:t>that go</w:t>
      </w:r>
      <w:r w:rsidRPr="00C40B08">
        <w:rPr>
          <w:rFonts w:ascii="Calibri" w:hAnsi="Calibri"/>
        </w:rPr>
        <w:t xml:space="preserve"> beyond those achieved by previous EPA rulemakings and other promulgated policies, since these past policies are built into the Reference Case. </w:t>
      </w:r>
    </w:p>
    <w:p w14:paraId="18671B91" w14:textId="18AE6AEB" w:rsidR="00423691" w:rsidRPr="00C40B08" w:rsidRDefault="00423691" w:rsidP="000656C9">
      <w:pPr>
        <w:spacing w:before="100" w:beforeAutospacing="1" w:after="100" w:afterAutospacing="1" w:line="276" w:lineRule="auto"/>
        <w:rPr>
          <w:rFonts w:ascii="Calibri" w:hAnsi="Calibri"/>
        </w:rPr>
      </w:pPr>
      <w:r w:rsidRPr="00C40B08">
        <w:rPr>
          <w:rFonts w:ascii="Calibri" w:hAnsi="Calibri"/>
        </w:rPr>
        <w:t>We estimate the global social cost of carbon (SCC) using EPA’s CPP Regulatory Impact Analysis (EPA, 2015</w:t>
      </w:r>
      <w:r w:rsidR="00961F4C" w:rsidRPr="00C40B08">
        <w:rPr>
          <w:rFonts w:ascii="Calibri" w:hAnsi="Calibri"/>
        </w:rPr>
        <w:t>a</w:t>
      </w:r>
      <w:r w:rsidRPr="00C40B08">
        <w:rPr>
          <w:rFonts w:ascii="Calibri" w:hAnsi="Calibri"/>
        </w:rPr>
        <w:t>). The SCC is a metric that estimates the monetary value of impacts associated with CO</w:t>
      </w:r>
      <w:r w:rsidRPr="00C40B08">
        <w:rPr>
          <w:rFonts w:ascii="Calibri" w:hAnsi="Calibri"/>
          <w:vertAlign w:val="subscript"/>
        </w:rPr>
        <w:t>2</w:t>
      </w:r>
      <w:r w:rsidRPr="00C40B08">
        <w:rPr>
          <w:rFonts w:ascii="Calibri" w:hAnsi="Calibri"/>
        </w:rPr>
        <w:t xml:space="preserve"> emission reductions in a given year. We focus on the single year 2030, and we use the 3% discount rate applied to a ton of CO</w:t>
      </w:r>
      <w:r w:rsidRPr="00C40B08">
        <w:rPr>
          <w:rFonts w:ascii="Calibri" w:hAnsi="Calibri"/>
          <w:vertAlign w:val="subscript"/>
        </w:rPr>
        <w:t>2</w:t>
      </w:r>
      <w:r w:rsidRPr="00C40B08">
        <w:rPr>
          <w:rFonts w:ascii="Calibri" w:hAnsi="Calibri"/>
        </w:rPr>
        <w:t xml:space="preserve"> emissions in 2030, which corresponds to $55 (in $2011) per metric ton of CO</w:t>
      </w:r>
      <w:r w:rsidRPr="00C40B08">
        <w:rPr>
          <w:rFonts w:ascii="Calibri" w:hAnsi="Calibri"/>
          <w:vertAlign w:val="subscript"/>
        </w:rPr>
        <w:t>2</w:t>
      </w:r>
      <w:r w:rsidRPr="00C40B08">
        <w:rPr>
          <w:rFonts w:ascii="Calibri" w:hAnsi="Calibri"/>
        </w:rPr>
        <w:t xml:space="preserve"> as reported in EPA (2015</w:t>
      </w:r>
      <w:r w:rsidR="00961F4C" w:rsidRPr="00C40B08">
        <w:rPr>
          <w:rFonts w:ascii="Calibri" w:hAnsi="Calibri"/>
        </w:rPr>
        <w:t>a</w:t>
      </w:r>
      <w:r w:rsidRPr="00C40B08">
        <w:rPr>
          <w:rFonts w:ascii="Calibri" w:hAnsi="Calibri"/>
        </w:rPr>
        <w:t>) Table 4-2. This value equates to $51.7 (in $2013) per short ton of CO</w:t>
      </w:r>
      <w:r w:rsidRPr="00C40B08">
        <w:rPr>
          <w:rFonts w:ascii="Calibri" w:hAnsi="Calibri"/>
          <w:vertAlign w:val="subscript"/>
        </w:rPr>
        <w:t>2</w:t>
      </w:r>
      <w:r w:rsidRPr="00C40B08">
        <w:rPr>
          <w:rFonts w:ascii="Calibri" w:hAnsi="Calibri"/>
        </w:rPr>
        <w:t xml:space="preserve"> in 2030.</w:t>
      </w:r>
    </w:p>
    <w:p w14:paraId="469941CC" w14:textId="1FD1AA49" w:rsidR="00423691" w:rsidRPr="00C40B08" w:rsidRDefault="004D7C16" w:rsidP="000656C9">
      <w:pPr>
        <w:spacing w:before="100" w:beforeAutospacing="1" w:after="100" w:afterAutospacing="1" w:line="276" w:lineRule="auto"/>
        <w:rPr>
          <w:rFonts w:ascii="Calibri" w:hAnsi="Calibri"/>
        </w:rPr>
      </w:pPr>
      <w:r w:rsidRPr="00C40B08">
        <w:rPr>
          <w:rFonts w:ascii="Calibri" w:hAnsi="Calibri"/>
        </w:rPr>
        <w:t>T</w:t>
      </w:r>
      <w:r w:rsidR="00423691" w:rsidRPr="00C40B08">
        <w:rPr>
          <w:rFonts w:ascii="Calibri" w:hAnsi="Calibri"/>
        </w:rPr>
        <w:t xml:space="preserve">he </w:t>
      </w:r>
      <w:r w:rsidR="006C32A9">
        <w:rPr>
          <w:rFonts w:ascii="Calibri" w:hAnsi="Calibri"/>
        </w:rPr>
        <w:t>mitigation</w:t>
      </w:r>
      <w:r w:rsidR="00423691" w:rsidRPr="00C40B08">
        <w:rPr>
          <w:rFonts w:ascii="Calibri" w:hAnsi="Calibri"/>
        </w:rPr>
        <w:t xml:space="preserve"> scenarios offer additional environmental and health benefits, which are called co-benefits because they are not the primary benefit being targeted by the </w:t>
      </w:r>
      <w:r w:rsidRPr="00C40B08">
        <w:rPr>
          <w:rFonts w:ascii="Calibri" w:hAnsi="Calibri"/>
        </w:rPr>
        <w:t>regulation</w:t>
      </w:r>
      <w:r w:rsidR="00423691" w:rsidRPr="00C40B08">
        <w:rPr>
          <w:rFonts w:ascii="Calibri" w:hAnsi="Calibri"/>
        </w:rPr>
        <w:t>. The most studied of these co-benefits are the criteria air pollutants that are reduced when fossil-fuel electricity generation decreases. Estimated emissions of three of these pollutants – sulfur dioxide (SO</w:t>
      </w:r>
      <w:r w:rsidR="00423691" w:rsidRPr="00C40B08">
        <w:rPr>
          <w:rFonts w:ascii="Calibri" w:hAnsi="Calibri"/>
          <w:vertAlign w:val="subscript"/>
        </w:rPr>
        <w:t>2</w:t>
      </w:r>
      <w:r w:rsidR="00423691" w:rsidRPr="00C40B08">
        <w:rPr>
          <w:rFonts w:ascii="Calibri" w:hAnsi="Calibri"/>
        </w:rPr>
        <w:t xml:space="preserve">), </w:t>
      </w:r>
      <w:r w:rsidR="00961F4C" w:rsidRPr="00C40B08">
        <w:rPr>
          <w:rFonts w:ascii="Calibri" w:hAnsi="Calibri"/>
        </w:rPr>
        <w:t xml:space="preserve">and </w:t>
      </w:r>
      <w:r w:rsidR="00423691" w:rsidRPr="00C40B08">
        <w:rPr>
          <w:rFonts w:ascii="Calibri" w:hAnsi="Calibri"/>
        </w:rPr>
        <w:t>nitrogen oxide (NOx)</w:t>
      </w:r>
      <w:r w:rsidR="00961F4C" w:rsidRPr="00C40B08">
        <w:rPr>
          <w:rFonts w:ascii="Calibri" w:hAnsi="Calibri"/>
        </w:rPr>
        <w:t xml:space="preserve"> </w:t>
      </w:r>
      <w:r w:rsidR="00423691" w:rsidRPr="00C40B08">
        <w:rPr>
          <w:rFonts w:ascii="Calibri" w:hAnsi="Calibri"/>
        </w:rPr>
        <w:t xml:space="preserve">– are </w:t>
      </w:r>
      <w:r w:rsidR="00E550F1" w:rsidRPr="00C40B08">
        <w:rPr>
          <w:rFonts w:ascii="Calibri" w:hAnsi="Calibri"/>
        </w:rPr>
        <w:t xml:space="preserve">summarized in </w:t>
      </w:r>
      <w:r w:rsidR="00492E3A" w:rsidRPr="00C40B08">
        <w:rPr>
          <w:rFonts w:ascii="Calibri" w:hAnsi="Calibri"/>
        </w:rPr>
        <w:t xml:space="preserve">Table </w:t>
      </w:r>
      <w:r w:rsidR="00D44075" w:rsidRPr="00C40B08">
        <w:rPr>
          <w:rFonts w:ascii="Calibri" w:hAnsi="Calibri"/>
        </w:rPr>
        <w:t>5</w:t>
      </w:r>
      <w:r w:rsidR="00423691" w:rsidRPr="00C40B08">
        <w:rPr>
          <w:rFonts w:ascii="Calibri" w:hAnsi="Calibri"/>
        </w:rPr>
        <w:t xml:space="preserve">. </w:t>
      </w:r>
    </w:p>
    <w:p w14:paraId="1491AA99" w14:textId="3553E1F2" w:rsidR="00144298" w:rsidRDefault="00492E3A"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 xml:space="preserve">Table </w:t>
      </w:r>
      <w:r w:rsidR="00D44075" w:rsidRPr="00C40B08">
        <w:rPr>
          <w:rFonts w:ascii="Calibri" w:hAnsi="Calibri"/>
          <w:color w:val="auto"/>
          <w:sz w:val="24"/>
          <w:szCs w:val="24"/>
        </w:rPr>
        <w:t>5</w:t>
      </w:r>
      <w:r w:rsidR="001A7352" w:rsidRPr="00C40B08">
        <w:rPr>
          <w:rFonts w:ascii="Calibri" w:hAnsi="Calibri"/>
          <w:color w:val="auto"/>
          <w:sz w:val="24"/>
          <w:szCs w:val="24"/>
        </w:rPr>
        <w:t>. Electric Power Sector Emissio</w:t>
      </w:r>
      <w:r w:rsidR="000978F8" w:rsidRPr="00C40B08">
        <w:rPr>
          <w:rFonts w:ascii="Calibri" w:hAnsi="Calibri"/>
          <w:color w:val="auto"/>
          <w:sz w:val="24"/>
          <w:szCs w:val="24"/>
        </w:rPr>
        <w:t>ns in the U.S. in 2012 and 2030</w:t>
      </w:r>
      <w:r w:rsidR="000978F8" w:rsidRPr="00C40B08">
        <w:rPr>
          <w:rFonts w:ascii="Calibri" w:hAnsi="Calibri"/>
          <w:color w:val="auto"/>
          <w:sz w:val="24"/>
          <w:szCs w:val="24"/>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8"/>
        <w:gridCol w:w="1260"/>
        <w:gridCol w:w="1170"/>
        <w:gridCol w:w="1170"/>
        <w:gridCol w:w="1170"/>
        <w:gridCol w:w="1170"/>
        <w:gridCol w:w="1170"/>
      </w:tblGrid>
      <w:tr w:rsidR="00CA6589" w:rsidRPr="00041D79" w14:paraId="637FF6AE" w14:textId="77777777" w:rsidTr="00CA6589">
        <w:tc>
          <w:tcPr>
            <w:tcW w:w="2178" w:type="dxa"/>
            <w:tcBorders>
              <w:top w:val="single" w:sz="4" w:space="0" w:color="auto"/>
            </w:tcBorders>
          </w:tcPr>
          <w:p w14:paraId="2CF1D769" w14:textId="77777777" w:rsidR="00CA6589" w:rsidRPr="00041D79" w:rsidRDefault="00CA6589" w:rsidP="000656C9">
            <w:pPr>
              <w:pStyle w:val="TableofFigures"/>
              <w:spacing w:line="276" w:lineRule="auto"/>
              <w:rPr>
                <w:sz w:val="24"/>
                <w:szCs w:val="24"/>
              </w:rPr>
            </w:pPr>
            <w:r w:rsidRPr="00041D79">
              <w:rPr>
                <w:sz w:val="24"/>
                <w:szCs w:val="24"/>
              </w:rPr>
              <w:t> </w:t>
            </w:r>
          </w:p>
        </w:tc>
        <w:tc>
          <w:tcPr>
            <w:tcW w:w="2430" w:type="dxa"/>
            <w:gridSpan w:val="2"/>
            <w:tcBorders>
              <w:top w:val="single" w:sz="4" w:space="0" w:color="auto"/>
            </w:tcBorders>
            <w:vAlign w:val="center"/>
          </w:tcPr>
          <w:p w14:paraId="54E1B33B" w14:textId="77777777" w:rsidR="00CA6589" w:rsidRPr="00041D79" w:rsidRDefault="00CA6589" w:rsidP="000656C9">
            <w:pPr>
              <w:pStyle w:val="TableofFigures"/>
              <w:spacing w:line="276" w:lineRule="auto"/>
              <w:jc w:val="center"/>
              <w:rPr>
                <w:b/>
                <w:sz w:val="24"/>
                <w:szCs w:val="24"/>
              </w:rPr>
            </w:pPr>
            <w:r w:rsidRPr="00041D79">
              <w:rPr>
                <w:b/>
                <w:sz w:val="24"/>
                <w:szCs w:val="24"/>
              </w:rPr>
              <w:t>Carbon Dioxide</w:t>
            </w:r>
          </w:p>
        </w:tc>
        <w:tc>
          <w:tcPr>
            <w:tcW w:w="2340" w:type="dxa"/>
            <w:gridSpan w:val="2"/>
            <w:tcBorders>
              <w:top w:val="single" w:sz="4" w:space="0" w:color="auto"/>
            </w:tcBorders>
            <w:vAlign w:val="center"/>
          </w:tcPr>
          <w:p w14:paraId="71A5C156" w14:textId="77777777" w:rsidR="00CA6589" w:rsidRPr="00041D79" w:rsidRDefault="00CA6589" w:rsidP="000656C9">
            <w:pPr>
              <w:pStyle w:val="TableofFigures"/>
              <w:spacing w:line="276" w:lineRule="auto"/>
              <w:jc w:val="center"/>
              <w:rPr>
                <w:b/>
                <w:sz w:val="24"/>
                <w:szCs w:val="24"/>
              </w:rPr>
            </w:pPr>
            <w:r w:rsidRPr="00041D79">
              <w:rPr>
                <w:b/>
                <w:sz w:val="24"/>
                <w:szCs w:val="24"/>
              </w:rPr>
              <w:t>Sulfur Dioxide</w:t>
            </w:r>
          </w:p>
        </w:tc>
        <w:tc>
          <w:tcPr>
            <w:tcW w:w="2340" w:type="dxa"/>
            <w:gridSpan w:val="2"/>
            <w:tcBorders>
              <w:top w:val="single" w:sz="4" w:space="0" w:color="auto"/>
            </w:tcBorders>
            <w:vAlign w:val="center"/>
          </w:tcPr>
          <w:p w14:paraId="7EF6F773" w14:textId="77777777" w:rsidR="00CA6589" w:rsidRPr="00041D79" w:rsidRDefault="00CA6589" w:rsidP="000656C9">
            <w:pPr>
              <w:spacing w:line="276" w:lineRule="auto"/>
              <w:jc w:val="center"/>
              <w:rPr>
                <w:rFonts w:asciiTheme="minorHAnsi" w:hAnsiTheme="minorHAnsi"/>
                <w:b/>
                <w:color w:val="000000" w:themeColor="text1"/>
              </w:rPr>
            </w:pPr>
            <w:r w:rsidRPr="00041D79">
              <w:rPr>
                <w:rFonts w:asciiTheme="minorHAnsi" w:hAnsiTheme="minorHAnsi"/>
                <w:b/>
                <w:color w:val="000000" w:themeColor="text1"/>
              </w:rPr>
              <w:t>Nitrogen Oxide</w:t>
            </w:r>
          </w:p>
        </w:tc>
      </w:tr>
      <w:tr w:rsidR="00CA6589" w:rsidRPr="00041D79" w14:paraId="3AF00CE3" w14:textId="77777777" w:rsidTr="00CA6589">
        <w:tc>
          <w:tcPr>
            <w:tcW w:w="2178" w:type="dxa"/>
            <w:tcBorders>
              <w:bottom w:val="single" w:sz="4" w:space="0" w:color="auto"/>
            </w:tcBorders>
            <w:vAlign w:val="bottom"/>
          </w:tcPr>
          <w:p w14:paraId="3F274D73" w14:textId="77777777" w:rsidR="00CA6589" w:rsidRPr="00041D79" w:rsidRDefault="00CA6589" w:rsidP="000656C9">
            <w:pPr>
              <w:pStyle w:val="TableofFigures"/>
              <w:spacing w:line="276" w:lineRule="auto"/>
              <w:rPr>
                <w:sz w:val="24"/>
                <w:szCs w:val="24"/>
              </w:rPr>
            </w:pPr>
            <w:r w:rsidRPr="00041D79">
              <w:rPr>
                <w:sz w:val="24"/>
                <w:szCs w:val="24"/>
              </w:rPr>
              <w:t>Scenario</w:t>
            </w:r>
          </w:p>
        </w:tc>
        <w:tc>
          <w:tcPr>
            <w:tcW w:w="1260" w:type="dxa"/>
            <w:tcBorders>
              <w:bottom w:val="single" w:sz="4" w:space="0" w:color="auto"/>
            </w:tcBorders>
          </w:tcPr>
          <w:p w14:paraId="61D2FF41" w14:textId="77777777" w:rsidR="00CA6589" w:rsidRPr="00041D79" w:rsidRDefault="00CA6589" w:rsidP="000656C9">
            <w:pPr>
              <w:pStyle w:val="TableofFigures"/>
              <w:spacing w:line="276" w:lineRule="auto"/>
              <w:jc w:val="center"/>
              <w:rPr>
                <w:sz w:val="24"/>
                <w:szCs w:val="24"/>
              </w:rPr>
            </w:pPr>
          </w:p>
          <w:p w14:paraId="76974F94" w14:textId="77777777" w:rsidR="00CA6589" w:rsidRPr="00041D79" w:rsidRDefault="00CA6589" w:rsidP="000656C9">
            <w:pPr>
              <w:pStyle w:val="TableofFigures"/>
              <w:spacing w:line="276" w:lineRule="auto"/>
              <w:jc w:val="center"/>
              <w:rPr>
                <w:i/>
                <w:iCs/>
                <w:sz w:val="24"/>
                <w:szCs w:val="24"/>
              </w:rPr>
            </w:pPr>
            <w:r w:rsidRPr="00041D79">
              <w:rPr>
                <w:sz w:val="24"/>
                <w:szCs w:val="24"/>
              </w:rPr>
              <w:t>Million Short Tons</w:t>
            </w:r>
          </w:p>
        </w:tc>
        <w:tc>
          <w:tcPr>
            <w:tcW w:w="1170" w:type="dxa"/>
            <w:tcBorders>
              <w:bottom w:val="single" w:sz="4" w:space="0" w:color="auto"/>
              <w:right w:val="single" w:sz="4" w:space="0" w:color="auto"/>
            </w:tcBorders>
          </w:tcPr>
          <w:p w14:paraId="25D4E158" w14:textId="77777777" w:rsidR="00CA6589" w:rsidRPr="00041D79" w:rsidRDefault="00CA6589" w:rsidP="000656C9">
            <w:pPr>
              <w:pStyle w:val="TableofFigures"/>
              <w:spacing w:line="276" w:lineRule="auto"/>
              <w:jc w:val="center"/>
              <w:rPr>
                <w:i/>
                <w:iCs/>
                <w:sz w:val="24"/>
                <w:szCs w:val="24"/>
              </w:rPr>
            </w:pPr>
            <w:r w:rsidRPr="00041D79">
              <w:rPr>
                <w:rFonts w:eastAsia="Times New Roman"/>
                <w:bCs/>
                <w:sz w:val="24"/>
                <w:szCs w:val="24"/>
              </w:rPr>
              <w:t>% Change from Reference in 2030</w:t>
            </w:r>
          </w:p>
        </w:tc>
        <w:tc>
          <w:tcPr>
            <w:tcW w:w="1170" w:type="dxa"/>
            <w:tcBorders>
              <w:left w:val="single" w:sz="4" w:space="0" w:color="auto"/>
              <w:bottom w:val="single" w:sz="4" w:space="0" w:color="auto"/>
            </w:tcBorders>
          </w:tcPr>
          <w:p w14:paraId="72D5BB1E" w14:textId="77777777" w:rsidR="00CA6589" w:rsidRPr="00041D79" w:rsidRDefault="00CA6589" w:rsidP="000656C9">
            <w:pPr>
              <w:pStyle w:val="TableofFigures"/>
              <w:spacing w:line="276" w:lineRule="auto"/>
              <w:jc w:val="center"/>
              <w:rPr>
                <w:sz w:val="24"/>
                <w:szCs w:val="24"/>
              </w:rPr>
            </w:pPr>
          </w:p>
          <w:p w14:paraId="0C78590D" w14:textId="77777777" w:rsidR="00CA6589" w:rsidRPr="00041D79" w:rsidRDefault="00CA6589" w:rsidP="000656C9">
            <w:pPr>
              <w:pStyle w:val="TableofFigures"/>
              <w:spacing w:line="276" w:lineRule="auto"/>
              <w:jc w:val="center"/>
              <w:rPr>
                <w:i/>
                <w:iCs/>
                <w:sz w:val="24"/>
                <w:szCs w:val="24"/>
              </w:rPr>
            </w:pPr>
            <w:r w:rsidRPr="00041D79">
              <w:rPr>
                <w:sz w:val="24"/>
                <w:szCs w:val="24"/>
              </w:rPr>
              <w:t>Million Short tons</w:t>
            </w:r>
          </w:p>
        </w:tc>
        <w:tc>
          <w:tcPr>
            <w:tcW w:w="1170" w:type="dxa"/>
            <w:tcBorders>
              <w:bottom w:val="single" w:sz="4" w:space="0" w:color="auto"/>
              <w:right w:val="single" w:sz="4" w:space="0" w:color="auto"/>
            </w:tcBorders>
          </w:tcPr>
          <w:p w14:paraId="7FFCF19B" w14:textId="77777777" w:rsidR="00CA6589" w:rsidRPr="00041D79" w:rsidRDefault="00CA6589" w:rsidP="000656C9">
            <w:pPr>
              <w:pStyle w:val="TableofFigures"/>
              <w:spacing w:line="276" w:lineRule="auto"/>
              <w:jc w:val="center"/>
              <w:rPr>
                <w:i/>
                <w:iCs/>
                <w:sz w:val="24"/>
                <w:szCs w:val="24"/>
              </w:rPr>
            </w:pPr>
            <w:r w:rsidRPr="00041D79">
              <w:rPr>
                <w:rFonts w:eastAsia="Times New Roman"/>
                <w:bCs/>
                <w:sz w:val="24"/>
                <w:szCs w:val="24"/>
              </w:rPr>
              <w:t>% Change from Reference in 2030</w:t>
            </w:r>
          </w:p>
        </w:tc>
        <w:tc>
          <w:tcPr>
            <w:tcW w:w="1170" w:type="dxa"/>
            <w:tcBorders>
              <w:left w:val="single" w:sz="4" w:space="0" w:color="auto"/>
              <w:bottom w:val="single" w:sz="4" w:space="0" w:color="auto"/>
            </w:tcBorders>
          </w:tcPr>
          <w:p w14:paraId="25CDB5C1" w14:textId="77777777" w:rsidR="00CA6589" w:rsidRPr="00041D79" w:rsidRDefault="00CA6589" w:rsidP="000656C9">
            <w:pPr>
              <w:pStyle w:val="TableofFigures"/>
              <w:spacing w:line="276" w:lineRule="auto"/>
              <w:jc w:val="center"/>
              <w:rPr>
                <w:sz w:val="24"/>
                <w:szCs w:val="24"/>
              </w:rPr>
            </w:pPr>
          </w:p>
          <w:p w14:paraId="5FC27D0F" w14:textId="77777777" w:rsidR="00CA6589" w:rsidRPr="00041D79" w:rsidRDefault="00CA6589" w:rsidP="000656C9">
            <w:pPr>
              <w:pStyle w:val="TableofFigures"/>
              <w:spacing w:line="276" w:lineRule="auto"/>
              <w:jc w:val="center"/>
              <w:rPr>
                <w:i/>
                <w:iCs/>
                <w:sz w:val="24"/>
                <w:szCs w:val="24"/>
              </w:rPr>
            </w:pPr>
            <w:r w:rsidRPr="00041D79">
              <w:rPr>
                <w:sz w:val="24"/>
                <w:szCs w:val="24"/>
              </w:rPr>
              <w:t>Million Short tons</w:t>
            </w:r>
          </w:p>
        </w:tc>
        <w:tc>
          <w:tcPr>
            <w:tcW w:w="1170" w:type="dxa"/>
            <w:tcBorders>
              <w:bottom w:val="single" w:sz="4" w:space="0" w:color="auto"/>
            </w:tcBorders>
          </w:tcPr>
          <w:p w14:paraId="4344A162" w14:textId="77777777" w:rsidR="00CA6589" w:rsidRPr="00041D79" w:rsidRDefault="00CA6589" w:rsidP="000656C9">
            <w:pPr>
              <w:pStyle w:val="TableofFigures"/>
              <w:spacing w:line="276" w:lineRule="auto"/>
              <w:jc w:val="center"/>
              <w:rPr>
                <w:i/>
                <w:iCs/>
                <w:sz w:val="24"/>
                <w:szCs w:val="24"/>
              </w:rPr>
            </w:pPr>
            <w:r w:rsidRPr="00041D79">
              <w:rPr>
                <w:rFonts w:eastAsia="Times New Roman"/>
                <w:bCs/>
                <w:sz w:val="24"/>
                <w:szCs w:val="24"/>
              </w:rPr>
              <w:t>% Change from Reference in 2030</w:t>
            </w:r>
          </w:p>
        </w:tc>
      </w:tr>
      <w:tr w:rsidR="00CA6589" w:rsidRPr="00753072" w14:paraId="1FEC5C1B" w14:textId="77777777" w:rsidTr="00CA6589">
        <w:tc>
          <w:tcPr>
            <w:tcW w:w="2178" w:type="dxa"/>
            <w:tcBorders>
              <w:bottom w:val="single" w:sz="4" w:space="0" w:color="auto"/>
            </w:tcBorders>
            <w:shd w:val="clear" w:color="auto" w:fill="auto"/>
          </w:tcPr>
          <w:p w14:paraId="262B239A" w14:textId="77777777" w:rsidR="00CA6589" w:rsidRPr="00753072" w:rsidRDefault="00CA6589" w:rsidP="000656C9">
            <w:pPr>
              <w:pStyle w:val="TableofFigures"/>
              <w:spacing w:line="276" w:lineRule="auto"/>
              <w:rPr>
                <w:b/>
                <w:sz w:val="24"/>
                <w:szCs w:val="24"/>
              </w:rPr>
            </w:pPr>
            <w:r w:rsidRPr="00753072">
              <w:rPr>
                <w:b/>
                <w:sz w:val="24"/>
                <w:szCs w:val="24"/>
              </w:rPr>
              <w:t>2012 Baseline</w:t>
            </w:r>
          </w:p>
        </w:tc>
        <w:tc>
          <w:tcPr>
            <w:tcW w:w="1260" w:type="dxa"/>
            <w:tcBorders>
              <w:bottom w:val="single" w:sz="4" w:space="0" w:color="auto"/>
            </w:tcBorders>
            <w:shd w:val="clear" w:color="auto" w:fill="auto"/>
          </w:tcPr>
          <w:p w14:paraId="60019B31" w14:textId="77777777" w:rsidR="00CA6589" w:rsidRPr="00753072" w:rsidRDefault="00CA6589" w:rsidP="000656C9">
            <w:pPr>
              <w:pStyle w:val="TableofFigures"/>
              <w:spacing w:line="276" w:lineRule="auto"/>
              <w:jc w:val="center"/>
              <w:rPr>
                <w:b/>
                <w:i/>
                <w:iCs/>
                <w:sz w:val="24"/>
                <w:szCs w:val="24"/>
              </w:rPr>
            </w:pPr>
            <w:r w:rsidRPr="00753072">
              <w:rPr>
                <w:b/>
                <w:sz w:val="24"/>
                <w:szCs w:val="24"/>
              </w:rPr>
              <w:t>2,243</w:t>
            </w:r>
          </w:p>
        </w:tc>
        <w:tc>
          <w:tcPr>
            <w:tcW w:w="1170" w:type="dxa"/>
            <w:tcBorders>
              <w:bottom w:val="single" w:sz="4" w:space="0" w:color="auto"/>
            </w:tcBorders>
            <w:shd w:val="clear" w:color="auto" w:fill="auto"/>
          </w:tcPr>
          <w:p w14:paraId="38AB953F" w14:textId="77777777" w:rsidR="00CA6589" w:rsidRPr="00753072" w:rsidRDefault="00CA6589" w:rsidP="000656C9">
            <w:pPr>
              <w:pStyle w:val="TableofFigures"/>
              <w:spacing w:line="276" w:lineRule="auto"/>
              <w:jc w:val="center"/>
              <w:rPr>
                <w:rFonts w:eastAsiaTheme="minorEastAsia"/>
                <w:b/>
                <w:i/>
                <w:iCs/>
                <w:spacing w:val="15"/>
                <w:sz w:val="24"/>
                <w:szCs w:val="24"/>
              </w:rPr>
            </w:pPr>
          </w:p>
        </w:tc>
        <w:tc>
          <w:tcPr>
            <w:tcW w:w="1170" w:type="dxa"/>
            <w:tcBorders>
              <w:bottom w:val="single" w:sz="4" w:space="0" w:color="auto"/>
            </w:tcBorders>
            <w:shd w:val="clear" w:color="auto" w:fill="auto"/>
          </w:tcPr>
          <w:p w14:paraId="298961B0" w14:textId="77777777" w:rsidR="00CA6589" w:rsidRPr="00753072" w:rsidRDefault="00CA6589" w:rsidP="000656C9">
            <w:pPr>
              <w:pStyle w:val="TableofFigures"/>
              <w:spacing w:line="276" w:lineRule="auto"/>
              <w:jc w:val="center"/>
              <w:rPr>
                <w:b/>
                <w:i/>
                <w:iCs/>
                <w:sz w:val="24"/>
                <w:szCs w:val="24"/>
              </w:rPr>
            </w:pPr>
            <w:r w:rsidRPr="00753072">
              <w:rPr>
                <w:b/>
                <w:sz w:val="24"/>
                <w:szCs w:val="24"/>
              </w:rPr>
              <w:t>3.43</w:t>
            </w:r>
          </w:p>
        </w:tc>
        <w:tc>
          <w:tcPr>
            <w:tcW w:w="1170" w:type="dxa"/>
            <w:tcBorders>
              <w:bottom w:val="single" w:sz="4" w:space="0" w:color="auto"/>
            </w:tcBorders>
            <w:shd w:val="clear" w:color="auto" w:fill="auto"/>
          </w:tcPr>
          <w:p w14:paraId="16756193" w14:textId="77777777" w:rsidR="00CA6589" w:rsidRPr="00753072" w:rsidRDefault="00CA6589" w:rsidP="000656C9">
            <w:pPr>
              <w:pStyle w:val="TableofFigures"/>
              <w:spacing w:line="276" w:lineRule="auto"/>
              <w:jc w:val="center"/>
              <w:rPr>
                <w:rFonts w:eastAsiaTheme="minorEastAsia"/>
                <w:b/>
                <w:i/>
                <w:iCs/>
                <w:spacing w:val="15"/>
                <w:sz w:val="24"/>
                <w:szCs w:val="24"/>
              </w:rPr>
            </w:pPr>
          </w:p>
        </w:tc>
        <w:tc>
          <w:tcPr>
            <w:tcW w:w="1170" w:type="dxa"/>
            <w:tcBorders>
              <w:bottom w:val="single" w:sz="4" w:space="0" w:color="auto"/>
            </w:tcBorders>
            <w:shd w:val="clear" w:color="auto" w:fill="auto"/>
          </w:tcPr>
          <w:p w14:paraId="302D0691" w14:textId="77777777" w:rsidR="00CA6589" w:rsidRPr="00753072" w:rsidRDefault="00CA6589" w:rsidP="000656C9">
            <w:pPr>
              <w:pStyle w:val="TableofFigures"/>
              <w:spacing w:line="276" w:lineRule="auto"/>
              <w:jc w:val="center"/>
              <w:rPr>
                <w:b/>
                <w:i/>
                <w:iCs/>
                <w:sz w:val="24"/>
                <w:szCs w:val="24"/>
              </w:rPr>
            </w:pPr>
            <w:r w:rsidRPr="00753072">
              <w:rPr>
                <w:b/>
                <w:sz w:val="24"/>
                <w:szCs w:val="24"/>
              </w:rPr>
              <w:t>1.68</w:t>
            </w:r>
          </w:p>
        </w:tc>
        <w:tc>
          <w:tcPr>
            <w:tcW w:w="1170" w:type="dxa"/>
            <w:tcBorders>
              <w:bottom w:val="single" w:sz="4" w:space="0" w:color="auto"/>
            </w:tcBorders>
            <w:shd w:val="clear" w:color="auto" w:fill="auto"/>
          </w:tcPr>
          <w:p w14:paraId="4A61AB10" w14:textId="77777777" w:rsidR="00CA6589" w:rsidRPr="00753072" w:rsidRDefault="00CA6589" w:rsidP="000656C9">
            <w:pPr>
              <w:pStyle w:val="TableofFigures"/>
              <w:spacing w:line="276" w:lineRule="auto"/>
              <w:jc w:val="center"/>
              <w:rPr>
                <w:rFonts w:eastAsiaTheme="minorEastAsia"/>
                <w:b/>
                <w:i/>
                <w:iCs/>
                <w:spacing w:val="15"/>
                <w:sz w:val="24"/>
                <w:szCs w:val="24"/>
              </w:rPr>
            </w:pPr>
          </w:p>
        </w:tc>
      </w:tr>
      <w:tr w:rsidR="00CA6589" w:rsidRPr="00753072" w14:paraId="03F482B9" w14:textId="77777777" w:rsidTr="00CA6589">
        <w:tc>
          <w:tcPr>
            <w:tcW w:w="3438" w:type="dxa"/>
            <w:gridSpan w:val="2"/>
            <w:tcBorders>
              <w:bottom w:val="single" w:sz="4" w:space="0" w:color="auto"/>
            </w:tcBorders>
            <w:shd w:val="clear" w:color="auto" w:fill="auto"/>
          </w:tcPr>
          <w:p w14:paraId="499642BD" w14:textId="77777777" w:rsidR="00CA6589" w:rsidRPr="00753072" w:rsidRDefault="00CA6589" w:rsidP="000656C9">
            <w:pPr>
              <w:pStyle w:val="TableofFigures"/>
              <w:spacing w:line="276" w:lineRule="auto"/>
              <w:rPr>
                <w:b/>
                <w:sz w:val="24"/>
                <w:szCs w:val="24"/>
              </w:rPr>
            </w:pPr>
            <w:r w:rsidRPr="00753072">
              <w:rPr>
                <w:b/>
                <w:sz w:val="24"/>
                <w:szCs w:val="24"/>
              </w:rPr>
              <w:t>2030 Reference Cases</w:t>
            </w:r>
          </w:p>
        </w:tc>
        <w:tc>
          <w:tcPr>
            <w:tcW w:w="1170" w:type="dxa"/>
            <w:tcBorders>
              <w:bottom w:val="single" w:sz="4" w:space="0" w:color="auto"/>
            </w:tcBorders>
            <w:shd w:val="clear" w:color="auto" w:fill="auto"/>
          </w:tcPr>
          <w:p w14:paraId="248B18B7" w14:textId="77777777" w:rsidR="00CA6589" w:rsidRPr="00753072" w:rsidRDefault="00CA6589" w:rsidP="000656C9">
            <w:pPr>
              <w:pStyle w:val="TableofFigures"/>
              <w:spacing w:line="276" w:lineRule="auto"/>
              <w:jc w:val="center"/>
              <w:rPr>
                <w:rFonts w:eastAsiaTheme="minorEastAsia"/>
                <w:b/>
                <w:i/>
                <w:iCs/>
                <w:spacing w:val="15"/>
                <w:sz w:val="24"/>
                <w:szCs w:val="24"/>
              </w:rPr>
            </w:pPr>
          </w:p>
        </w:tc>
        <w:tc>
          <w:tcPr>
            <w:tcW w:w="1170" w:type="dxa"/>
            <w:tcBorders>
              <w:bottom w:val="single" w:sz="4" w:space="0" w:color="auto"/>
            </w:tcBorders>
            <w:shd w:val="clear" w:color="auto" w:fill="auto"/>
          </w:tcPr>
          <w:p w14:paraId="073FE5F9" w14:textId="77777777" w:rsidR="00CA6589" w:rsidRPr="00753072" w:rsidRDefault="00CA6589" w:rsidP="000656C9">
            <w:pPr>
              <w:pStyle w:val="TableofFigures"/>
              <w:spacing w:line="276" w:lineRule="auto"/>
              <w:jc w:val="center"/>
              <w:rPr>
                <w:b/>
                <w:sz w:val="24"/>
                <w:szCs w:val="24"/>
              </w:rPr>
            </w:pPr>
          </w:p>
        </w:tc>
        <w:tc>
          <w:tcPr>
            <w:tcW w:w="1170" w:type="dxa"/>
            <w:tcBorders>
              <w:bottom w:val="single" w:sz="4" w:space="0" w:color="auto"/>
            </w:tcBorders>
            <w:shd w:val="clear" w:color="auto" w:fill="auto"/>
          </w:tcPr>
          <w:p w14:paraId="39662B7E" w14:textId="77777777" w:rsidR="00CA6589" w:rsidRPr="00753072" w:rsidRDefault="00CA6589" w:rsidP="000656C9">
            <w:pPr>
              <w:pStyle w:val="TableofFigures"/>
              <w:spacing w:line="276" w:lineRule="auto"/>
              <w:jc w:val="center"/>
              <w:rPr>
                <w:rFonts w:eastAsiaTheme="minorEastAsia"/>
                <w:b/>
                <w:i/>
                <w:iCs/>
                <w:spacing w:val="15"/>
                <w:sz w:val="24"/>
                <w:szCs w:val="24"/>
              </w:rPr>
            </w:pPr>
          </w:p>
        </w:tc>
        <w:tc>
          <w:tcPr>
            <w:tcW w:w="1170" w:type="dxa"/>
            <w:tcBorders>
              <w:bottom w:val="single" w:sz="4" w:space="0" w:color="auto"/>
            </w:tcBorders>
            <w:shd w:val="clear" w:color="auto" w:fill="auto"/>
          </w:tcPr>
          <w:p w14:paraId="1F9F56CB" w14:textId="77777777" w:rsidR="00CA6589" w:rsidRPr="00753072" w:rsidRDefault="00CA6589" w:rsidP="000656C9">
            <w:pPr>
              <w:pStyle w:val="TableofFigures"/>
              <w:spacing w:line="276" w:lineRule="auto"/>
              <w:jc w:val="center"/>
              <w:rPr>
                <w:b/>
                <w:sz w:val="24"/>
                <w:szCs w:val="24"/>
              </w:rPr>
            </w:pPr>
          </w:p>
        </w:tc>
        <w:tc>
          <w:tcPr>
            <w:tcW w:w="1170" w:type="dxa"/>
            <w:tcBorders>
              <w:bottom w:val="single" w:sz="4" w:space="0" w:color="auto"/>
            </w:tcBorders>
            <w:shd w:val="clear" w:color="auto" w:fill="auto"/>
          </w:tcPr>
          <w:p w14:paraId="3ED1714E" w14:textId="77777777" w:rsidR="00CA6589" w:rsidRPr="00753072" w:rsidRDefault="00CA6589" w:rsidP="000656C9">
            <w:pPr>
              <w:pStyle w:val="TableofFigures"/>
              <w:spacing w:line="276" w:lineRule="auto"/>
              <w:jc w:val="center"/>
              <w:rPr>
                <w:rFonts w:eastAsiaTheme="minorEastAsia"/>
                <w:b/>
                <w:i/>
                <w:iCs/>
                <w:spacing w:val="15"/>
                <w:sz w:val="24"/>
                <w:szCs w:val="24"/>
              </w:rPr>
            </w:pPr>
          </w:p>
        </w:tc>
      </w:tr>
      <w:tr w:rsidR="00CA6589" w:rsidRPr="00753072" w14:paraId="50FFC0FE" w14:textId="77777777" w:rsidTr="00CA6589">
        <w:tc>
          <w:tcPr>
            <w:tcW w:w="2178" w:type="dxa"/>
            <w:tcBorders>
              <w:top w:val="single" w:sz="4" w:space="0" w:color="auto"/>
            </w:tcBorders>
            <w:shd w:val="clear" w:color="auto" w:fill="auto"/>
            <w:vAlign w:val="bottom"/>
          </w:tcPr>
          <w:p w14:paraId="5647AE53" w14:textId="77777777" w:rsidR="00CA6589" w:rsidRPr="00753072" w:rsidRDefault="00CA6589" w:rsidP="000656C9">
            <w:pPr>
              <w:pStyle w:val="TableofFigures"/>
              <w:spacing w:line="276" w:lineRule="auto"/>
              <w:rPr>
                <w:sz w:val="24"/>
                <w:szCs w:val="24"/>
              </w:rPr>
            </w:pPr>
            <w:r w:rsidRPr="00753072">
              <w:rPr>
                <w:sz w:val="24"/>
                <w:szCs w:val="24"/>
              </w:rPr>
              <w:t>Reference</w:t>
            </w:r>
          </w:p>
        </w:tc>
        <w:tc>
          <w:tcPr>
            <w:tcW w:w="1260" w:type="dxa"/>
            <w:tcBorders>
              <w:top w:val="single" w:sz="4" w:space="0" w:color="auto"/>
            </w:tcBorders>
            <w:shd w:val="clear" w:color="auto" w:fill="auto"/>
            <w:vAlign w:val="center"/>
          </w:tcPr>
          <w:p w14:paraId="16F78C0F" w14:textId="77777777" w:rsidR="00CA6589" w:rsidRPr="00753072" w:rsidRDefault="00CA6589" w:rsidP="000656C9">
            <w:pPr>
              <w:pStyle w:val="TableofFigures"/>
              <w:spacing w:line="276" w:lineRule="auto"/>
              <w:jc w:val="center"/>
              <w:rPr>
                <w:sz w:val="24"/>
                <w:szCs w:val="24"/>
              </w:rPr>
            </w:pPr>
            <w:r w:rsidRPr="00753072">
              <w:rPr>
                <w:sz w:val="24"/>
                <w:szCs w:val="24"/>
              </w:rPr>
              <w:t>2,315</w:t>
            </w:r>
          </w:p>
        </w:tc>
        <w:tc>
          <w:tcPr>
            <w:tcW w:w="1170" w:type="dxa"/>
            <w:tcBorders>
              <w:top w:val="single" w:sz="4" w:space="0" w:color="auto"/>
            </w:tcBorders>
            <w:shd w:val="clear" w:color="auto" w:fill="auto"/>
            <w:vAlign w:val="bottom"/>
          </w:tcPr>
          <w:p w14:paraId="31C4D020" w14:textId="77777777" w:rsidR="00CA6589" w:rsidRPr="00753072" w:rsidRDefault="00CA6589" w:rsidP="000656C9">
            <w:pPr>
              <w:pStyle w:val="TableofFigures"/>
              <w:spacing w:line="276" w:lineRule="auto"/>
              <w:jc w:val="center"/>
              <w:rPr>
                <w:sz w:val="24"/>
                <w:szCs w:val="24"/>
              </w:rPr>
            </w:pPr>
          </w:p>
        </w:tc>
        <w:tc>
          <w:tcPr>
            <w:tcW w:w="1170" w:type="dxa"/>
            <w:tcBorders>
              <w:top w:val="single" w:sz="4" w:space="0" w:color="auto"/>
            </w:tcBorders>
            <w:shd w:val="clear" w:color="auto" w:fill="auto"/>
            <w:vAlign w:val="bottom"/>
          </w:tcPr>
          <w:p w14:paraId="667129B3" w14:textId="77777777" w:rsidR="00CA6589" w:rsidRPr="00753072" w:rsidRDefault="00CA6589" w:rsidP="000656C9">
            <w:pPr>
              <w:pStyle w:val="TableofFigures"/>
              <w:spacing w:line="276" w:lineRule="auto"/>
              <w:jc w:val="center"/>
              <w:rPr>
                <w:sz w:val="24"/>
                <w:szCs w:val="24"/>
              </w:rPr>
            </w:pPr>
            <w:r w:rsidRPr="00753072">
              <w:rPr>
                <w:sz w:val="24"/>
                <w:szCs w:val="24"/>
              </w:rPr>
              <w:t>1.41</w:t>
            </w:r>
          </w:p>
        </w:tc>
        <w:tc>
          <w:tcPr>
            <w:tcW w:w="1170" w:type="dxa"/>
            <w:tcBorders>
              <w:top w:val="single" w:sz="4" w:space="0" w:color="auto"/>
            </w:tcBorders>
            <w:shd w:val="clear" w:color="auto" w:fill="auto"/>
            <w:vAlign w:val="bottom"/>
          </w:tcPr>
          <w:p w14:paraId="1E599C35" w14:textId="77777777" w:rsidR="00CA6589" w:rsidRPr="00753072" w:rsidRDefault="00CA6589" w:rsidP="000656C9">
            <w:pPr>
              <w:pStyle w:val="TableofFigures"/>
              <w:spacing w:line="276" w:lineRule="auto"/>
              <w:jc w:val="center"/>
              <w:rPr>
                <w:sz w:val="24"/>
                <w:szCs w:val="24"/>
              </w:rPr>
            </w:pPr>
          </w:p>
        </w:tc>
        <w:tc>
          <w:tcPr>
            <w:tcW w:w="1170" w:type="dxa"/>
            <w:tcBorders>
              <w:top w:val="single" w:sz="4" w:space="0" w:color="auto"/>
            </w:tcBorders>
            <w:shd w:val="clear" w:color="auto" w:fill="auto"/>
            <w:vAlign w:val="bottom"/>
          </w:tcPr>
          <w:p w14:paraId="6ECA7179" w14:textId="77777777" w:rsidR="00CA6589" w:rsidRPr="00753072" w:rsidRDefault="00CA6589" w:rsidP="000656C9">
            <w:pPr>
              <w:pStyle w:val="TableofFigures"/>
              <w:spacing w:line="276" w:lineRule="auto"/>
              <w:jc w:val="center"/>
              <w:rPr>
                <w:sz w:val="24"/>
                <w:szCs w:val="24"/>
              </w:rPr>
            </w:pPr>
            <w:r w:rsidRPr="00753072">
              <w:rPr>
                <w:sz w:val="24"/>
                <w:szCs w:val="24"/>
              </w:rPr>
              <w:t>1.51</w:t>
            </w:r>
          </w:p>
        </w:tc>
        <w:tc>
          <w:tcPr>
            <w:tcW w:w="1170" w:type="dxa"/>
            <w:tcBorders>
              <w:top w:val="single" w:sz="4" w:space="0" w:color="auto"/>
            </w:tcBorders>
            <w:shd w:val="clear" w:color="auto" w:fill="auto"/>
            <w:vAlign w:val="bottom"/>
          </w:tcPr>
          <w:p w14:paraId="67700F17" w14:textId="77777777" w:rsidR="00CA6589" w:rsidRPr="00753072" w:rsidRDefault="00CA6589" w:rsidP="000656C9">
            <w:pPr>
              <w:pStyle w:val="TableofFigures"/>
              <w:spacing w:line="276" w:lineRule="auto"/>
              <w:jc w:val="center"/>
              <w:rPr>
                <w:sz w:val="24"/>
                <w:szCs w:val="24"/>
              </w:rPr>
            </w:pPr>
          </w:p>
        </w:tc>
      </w:tr>
      <w:tr w:rsidR="00CA6589" w:rsidRPr="00753072" w14:paraId="2DF86AD1" w14:textId="77777777" w:rsidTr="00CA6589">
        <w:tc>
          <w:tcPr>
            <w:tcW w:w="2178" w:type="dxa"/>
            <w:tcBorders>
              <w:bottom w:val="single" w:sz="4" w:space="0" w:color="auto"/>
            </w:tcBorders>
            <w:shd w:val="clear" w:color="auto" w:fill="auto"/>
            <w:vAlign w:val="bottom"/>
          </w:tcPr>
          <w:p w14:paraId="7E9BAFBB" w14:textId="77777777" w:rsidR="00CA6589" w:rsidRPr="00753072" w:rsidRDefault="00CA6589" w:rsidP="000656C9">
            <w:pPr>
              <w:pStyle w:val="TableofFigures"/>
              <w:spacing w:line="276" w:lineRule="auto"/>
              <w:rPr>
                <w:sz w:val="24"/>
                <w:szCs w:val="24"/>
              </w:rPr>
            </w:pPr>
            <w:proofErr w:type="spellStart"/>
            <w:r w:rsidRPr="00753072">
              <w:rPr>
                <w:rFonts w:eastAsia="Times New Roman"/>
                <w:color w:val="000000"/>
                <w:sz w:val="24"/>
                <w:szCs w:val="24"/>
              </w:rPr>
              <w:t>Reference+EE</w:t>
            </w:r>
            <w:proofErr w:type="spellEnd"/>
          </w:p>
        </w:tc>
        <w:tc>
          <w:tcPr>
            <w:tcW w:w="1260" w:type="dxa"/>
            <w:tcBorders>
              <w:bottom w:val="single" w:sz="4" w:space="0" w:color="auto"/>
            </w:tcBorders>
            <w:shd w:val="clear" w:color="auto" w:fill="auto"/>
            <w:vAlign w:val="center"/>
          </w:tcPr>
          <w:p w14:paraId="35B18282" w14:textId="77777777" w:rsidR="00CA6589" w:rsidRPr="00753072" w:rsidRDefault="00CA6589" w:rsidP="000656C9">
            <w:pPr>
              <w:pStyle w:val="TableofFigures"/>
              <w:spacing w:line="276" w:lineRule="auto"/>
              <w:jc w:val="center"/>
              <w:rPr>
                <w:sz w:val="24"/>
                <w:szCs w:val="24"/>
              </w:rPr>
            </w:pPr>
            <w:r w:rsidRPr="00753072">
              <w:rPr>
                <w:sz w:val="24"/>
                <w:szCs w:val="24"/>
              </w:rPr>
              <w:t xml:space="preserve">2,232 </w:t>
            </w:r>
          </w:p>
        </w:tc>
        <w:tc>
          <w:tcPr>
            <w:tcW w:w="1170" w:type="dxa"/>
            <w:tcBorders>
              <w:bottom w:val="single" w:sz="4" w:space="0" w:color="auto"/>
            </w:tcBorders>
            <w:shd w:val="clear" w:color="auto" w:fill="auto"/>
            <w:vAlign w:val="bottom"/>
          </w:tcPr>
          <w:p w14:paraId="75E88C84"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-4%</w:t>
            </w:r>
          </w:p>
        </w:tc>
        <w:tc>
          <w:tcPr>
            <w:tcW w:w="1170" w:type="dxa"/>
            <w:tcBorders>
              <w:bottom w:val="single" w:sz="4" w:space="0" w:color="auto"/>
            </w:tcBorders>
            <w:shd w:val="clear" w:color="auto" w:fill="auto"/>
            <w:vAlign w:val="bottom"/>
          </w:tcPr>
          <w:p w14:paraId="7563953E"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1.37 </w:t>
            </w:r>
          </w:p>
        </w:tc>
        <w:tc>
          <w:tcPr>
            <w:tcW w:w="1170" w:type="dxa"/>
            <w:tcBorders>
              <w:bottom w:val="single" w:sz="4" w:space="0" w:color="auto"/>
            </w:tcBorders>
            <w:shd w:val="clear" w:color="auto" w:fill="auto"/>
            <w:vAlign w:val="bottom"/>
          </w:tcPr>
          <w:p w14:paraId="08615DF1"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w:t>
            </w:r>
          </w:p>
        </w:tc>
        <w:tc>
          <w:tcPr>
            <w:tcW w:w="1170" w:type="dxa"/>
            <w:tcBorders>
              <w:bottom w:val="single" w:sz="4" w:space="0" w:color="auto"/>
            </w:tcBorders>
            <w:shd w:val="clear" w:color="auto" w:fill="auto"/>
            <w:vAlign w:val="bottom"/>
          </w:tcPr>
          <w:p w14:paraId="1A5DA81E"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1.46 </w:t>
            </w:r>
          </w:p>
        </w:tc>
        <w:tc>
          <w:tcPr>
            <w:tcW w:w="1170" w:type="dxa"/>
            <w:tcBorders>
              <w:bottom w:val="single" w:sz="4" w:space="0" w:color="auto"/>
            </w:tcBorders>
            <w:shd w:val="clear" w:color="auto" w:fill="auto"/>
            <w:vAlign w:val="bottom"/>
          </w:tcPr>
          <w:p w14:paraId="160737E8"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w:t>
            </w:r>
          </w:p>
        </w:tc>
      </w:tr>
      <w:tr w:rsidR="00CA6589" w:rsidRPr="00753072" w14:paraId="293DDB79" w14:textId="77777777" w:rsidTr="00CA6589">
        <w:tc>
          <w:tcPr>
            <w:tcW w:w="3438" w:type="dxa"/>
            <w:gridSpan w:val="2"/>
            <w:tcBorders>
              <w:top w:val="single" w:sz="4" w:space="0" w:color="auto"/>
              <w:bottom w:val="single" w:sz="4" w:space="0" w:color="auto"/>
            </w:tcBorders>
            <w:shd w:val="clear" w:color="auto" w:fill="auto"/>
            <w:vAlign w:val="bottom"/>
          </w:tcPr>
          <w:p w14:paraId="2E269BDC" w14:textId="77777777" w:rsidR="00CA6589" w:rsidRPr="00753072" w:rsidRDefault="00CA6589" w:rsidP="000656C9">
            <w:pPr>
              <w:pStyle w:val="TableofFigures"/>
              <w:spacing w:line="276" w:lineRule="auto"/>
              <w:rPr>
                <w:sz w:val="24"/>
                <w:szCs w:val="24"/>
              </w:rPr>
            </w:pPr>
            <w:r w:rsidRPr="00753072">
              <w:rPr>
                <w:b/>
                <w:sz w:val="24"/>
                <w:szCs w:val="24"/>
              </w:rPr>
              <w:t xml:space="preserve">2030 </w:t>
            </w:r>
            <w:r>
              <w:rPr>
                <w:b/>
                <w:sz w:val="24"/>
                <w:szCs w:val="24"/>
              </w:rPr>
              <w:t>Mitigation</w:t>
            </w:r>
            <w:r w:rsidRPr="00753072">
              <w:rPr>
                <w:b/>
                <w:sz w:val="24"/>
                <w:szCs w:val="24"/>
              </w:rPr>
              <w:t xml:space="preserve"> Scenarios</w:t>
            </w:r>
          </w:p>
        </w:tc>
        <w:tc>
          <w:tcPr>
            <w:tcW w:w="1170" w:type="dxa"/>
            <w:tcBorders>
              <w:top w:val="single" w:sz="4" w:space="0" w:color="auto"/>
              <w:bottom w:val="single" w:sz="4" w:space="0" w:color="auto"/>
            </w:tcBorders>
            <w:shd w:val="clear" w:color="auto" w:fill="auto"/>
            <w:vAlign w:val="bottom"/>
          </w:tcPr>
          <w:p w14:paraId="1A3608C9" w14:textId="77777777" w:rsidR="00CA6589" w:rsidRPr="00753072" w:rsidRDefault="00CA6589" w:rsidP="000656C9">
            <w:pPr>
              <w:pStyle w:val="TableofFigures"/>
              <w:spacing w:line="276" w:lineRule="auto"/>
              <w:jc w:val="center"/>
              <w:rPr>
                <w:rFonts w:eastAsia="Times New Roman"/>
                <w:color w:val="000000"/>
                <w:sz w:val="24"/>
                <w:szCs w:val="24"/>
              </w:rPr>
            </w:pPr>
          </w:p>
        </w:tc>
        <w:tc>
          <w:tcPr>
            <w:tcW w:w="1170" w:type="dxa"/>
            <w:tcBorders>
              <w:top w:val="single" w:sz="4" w:space="0" w:color="auto"/>
              <w:bottom w:val="single" w:sz="4" w:space="0" w:color="auto"/>
            </w:tcBorders>
            <w:shd w:val="clear" w:color="auto" w:fill="auto"/>
            <w:vAlign w:val="bottom"/>
          </w:tcPr>
          <w:p w14:paraId="25FBD3E6" w14:textId="77777777" w:rsidR="00CA6589" w:rsidRPr="00753072" w:rsidRDefault="00CA6589" w:rsidP="000656C9">
            <w:pPr>
              <w:pStyle w:val="TableofFigures"/>
              <w:spacing w:line="276" w:lineRule="auto"/>
              <w:jc w:val="center"/>
              <w:rPr>
                <w:sz w:val="24"/>
                <w:szCs w:val="24"/>
              </w:rPr>
            </w:pPr>
          </w:p>
        </w:tc>
        <w:tc>
          <w:tcPr>
            <w:tcW w:w="1170" w:type="dxa"/>
            <w:tcBorders>
              <w:top w:val="single" w:sz="4" w:space="0" w:color="auto"/>
              <w:bottom w:val="single" w:sz="4" w:space="0" w:color="auto"/>
            </w:tcBorders>
            <w:shd w:val="clear" w:color="auto" w:fill="auto"/>
            <w:vAlign w:val="bottom"/>
          </w:tcPr>
          <w:p w14:paraId="48FCDFF8" w14:textId="77777777" w:rsidR="00CA6589" w:rsidRPr="00753072" w:rsidRDefault="00CA6589" w:rsidP="000656C9">
            <w:pPr>
              <w:pStyle w:val="TableofFigures"/>
              <w:spacing w:line="276" w:lineRule="auto"/>
              <w:jc w:val="center"/>
              <w:rPr>
                <w:rFonts w:eastAsia="Times New Roman"/>
                <w:color w:val="000000"/>
                <w:sz w:val="24"/>
                <w:szCs w:val="24"/>
              </w:rPr>
            </w:pPr>
          </w:p>
        </w:tc>
        <w:tc>
          <w:tcPr>
            <w:tcW w:w="1170" w:type="dxa"/>
            <w:tcBorders>
              <w:top w:val="single" w:sz="4" w:space="0" w:color="auto"/>
              <w:bottom w:val="single" w:sz="4" w:space="0" w:color="auto"/>
            </w:tcBorders>
            <w:shd w:val="clear" w:color="auto" w:fill="auto"/>
            <w:vAlign w:val="bottom"/>
          </w:tcPr>
          <w:p w14:paraId="2828F686" w14:textId="77777777" w:rsidR="00CA6589" w:rsidRPr="00753072" w:rsidRDefault="00CA6589" w:rsidP="000656C9">
            <w:pPr>
              <w:pStyle w:val="TableofFigures"/>
              <w:spacing w:line="276" w:lineRule="auto"/>
              <w:jc w:val="center"/>
              <w:rPr>
                <w:sz w:val="24"/>
                <w:szCs w:val="24"/>
              </w:rPr>
            </w:pPr>
          </w:p>
        </w:tc>
        <w:tc>
          <w:tcPr>
            <w:tcW w:w="1170" w:type="dxa"/>
            <w:tcBorders>
              <w:top w:val="single" w:sz="4" w:space="0" w:color="auto"/>
              <w:bottom w:val="single" w:sz="4" w:space="0" w:color="auto"/>
            </w:tcBorders>
            <w:shd w:val="clear" w:color="auto" w:fill="auto"/>
            <w:vAlign w:val="bottom"/>
          </w:tcPr>
          <w:p w14:paraId="46864CD1" w14:textId="77777777" w:rsidR="00CA6589" w:rsidRPr="00753072" w:rsidRDefault="00CA6589" w:rsidP="000656C9">
            <w:pPr>
              <w:pStyle w:val="TableofFigures"/>
              <w:spacing w:line="276" w:lineRule="auto"/>
              <w:jc w:val="center"/>
              <w:rPr>
                <w:rFonts w:eastAsia="Times New Roman"/>
                <w:color w:val="000000"/>
                <w:sz w:val="24"/>
                <w:szCs w:val="24"/>
              </w:rPr>
            </w:pPr>
          </w:p>
        </w:tc>
      </w:tr>
      <w:tr w:rsidR="00CA6589" w:rsidRPr="00753072" w14:paraId="3BA7B2E3" w14:textId="77777777" w:rsidTr="00CA6589">
        <w:tc>
          <w:tcPr>
            <w:tcW w:w="2178" w:type="dxa"/>
            <w:tcBorders>
              <w:top w:val="single" w:sz="4" w:space="0" w:color="auto"/>
            </w:tcBorders>
            <w:shd w:val="clear" w:color="auto" w:fill="auto"/>
          </w:tcPr>
          <w:p w14:paraId="451979DD" w14:textId="77777777" w:rsidR="00CA6589" w:rsidRPr="0020075D" w:rsidRDefault="00CA6589" w:rsidP="000656C9">
            <w:pPr>
              <w:pStyle w:val="TableofFigures"/>
              <w:spacing w:line="276" w:lineRule="auto"/>
              <w:rPr>
                <w:sz w:val="24"/>
                <w:szCs w:val="24"/>
              </w:rPr>
            </w:pPr>
            <w:r w:rsidRPr="0020075D">
              <w:rPr>
                <w:rFonts w:eastAsia="Times New Roman"/>
              </w:rPr>
              <w:t>CO</w:t>
            </w:r>
            <w:r w:rsidRPr="0020075D">
              <w:rPr>
                <w:rFonts w:eastAsia="Times New Roman"/>
                <w:vertAlign w:val="subscript"/>
              </w:rPr>
              <w:t>2</w:t>
            </w:r>
            <w:r w:rsidRPr="0020075D">
              <w:rPr>
                <w:rFonts w:eastAsia="Times New Roman"/>
              </w:rPr>
              <w:t>-CAP_Existing</w:t>
            </w:r>
          </w:p>
        </w:tc>
        <w:tc>
          <w:tcPr>
            <w:tcW w:w="1260" w:type="dxa"/>
            <w:tcBorders>
              <w:top w:val="single" w:sz="4" w:space="0" w:color="auto"/>
            </w:tcBorders>
            <w:shd w:val="clear" w:color="auto" w:fill="auto"/>
            <w:vAlign w:val="center"/>
          </w:tcPr>
          <w:p w14:paraId="7D64E301"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1,920 </w:t>
            </w:r>
          </w:p>
        </w:tc>
        <w:tc>
          <w:tcPr>
            <w:tcW w:w="1170" w:type="dxa"/>
            <w:tcBorders>
              <w:top w:val="single" w:sz="4" w:space="0" w:color="auto"/>
            </w:tcBorders>
            <w:shd w:val="clear" w:color="auto" w:fill="auto"/>
            <w:vAlign w:val="bottom"/>
          </w:tcPr>
          <w:p w14:paraId="2265A7C2"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-17%</w:t>
            </w:r>
          </w:p>
        </w:tc>
        <w:tc>
          <w:tcPr>
            <w:tcW w:w="1170" w:type="dxa"/>
            <w:tcBorders>
              <w:top w:val="single" w:sz="4" w:space="0" w:color="auto"/>
            </w:tcBorders>
            <w:shd w:val="clear" w:color="auto" w:fill="auto"/>
            <w:vAlign w:val="bottom"/>
          </w:tcPr>
          <w:p w14:paraId="30E183D6"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1.01 </w:t>
            </w:r>
          </w:p>
        </w:tc>
        <w:tc>
          <w:tcPr>
            <w:tcW w:w="1170" w:type="dxa"/>
            <w:tcBorders>
              <w:top w:val="single" w:sz="4" w:space="0" w:color="auto"/>
            </w:tcBorders>
            <w:shd w:val="clear" w:color="auto" w:fill="auto"/>
            <w:vAlign w:val="bottom"/>
          </w:tcPr>
          <w:p w14:paraId="568B71B9"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-28%</w:t>
            </w:r>
          </w:p>
        </w:tc>
        <w:tc>
          <w:tcPr>
            <w:tcW w:w="1170" w:type="dxa"/>
            <w:tcBorders>
              <w:top w:val="single" w:sz="4" w:space="0" w:color="auto"/>
            </w:tcBorders>
            <w:shd w:val="clear" w:color="auto" w:fill="auto"/>
            <w:vAlign w:val="bottom"/>
          </w:tcPr>
          <w:p w14:paraId="3E969CE6"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1.12 </w:t>
            </w:r>
          </w:p>
        </w:tc>
        <w:tc>
          <w:tcPr>
            <w:tcW w:w="1170" w:type="dxa"/>
            <w:tcBorders>
              <w:top w:val="single" w:sz="4" w:space="0" w:color="auto"/>
            </w:tcBorders>
            <w:shd w:val="clear" w:color="auto" w:fill="auto"/>
            <w:vAlign w:val="bottom"/>
          </w:tcPr>
          <w:p w14:paraId="330E0377"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-26%</w:t>
            </w:r>
          </w:p>
        </w:tc>
      </w:tr>
      <w:tr w:rsidR="00CA6589" w:rsidRPr="00753072" w14:paraId="2F09B980" w14:textId="77777777" w:rsidTr="00CA6589">
        <w:tc>
          <w:tcPr>
            <w:tcW w:w="2178" w:type="dxa"/>
            <w:tcBorders>
              <w:bottom w:val="single" w:sz="4" w:space="0" w:color="auto"/>
            </w:tcBorders>
            <w:shd w:val="clear" w:color="auto" w:fill="auto"/>
          </w:tcPr>
          <w:p w14:paraId="2B869352" w14:textId="77777777" w:rsidR="00CA6589" w:rsidRPr="0020075D" w:rsidRDefault="00CA6589" w:rsidP="000656C9">
            <w:pPr>
              <w:pStyle w:val="TableofFigures"/>
              <w:spacing w:line="276" w:lineRule="auto"/>
              <w:rPr>
                <w:sz w:val="24"/>
                <w:szCs w:val="24"/>
              </w:rPr>
            </w:pPr>
            <w:r w:rsidRPr="0020075D">
              <w:rPr>
                <w:rFonts w:eastAsia="Times New Roman"/>
              </w:rPr>
              <w:t>CO</w:t>
            </w:r>
            <w:r w:rsidRPr="0020075D">
              <w:rPr>
                <w:rFonts w:eastAsia="Times New Roman"/>
                <w:vertAlign w:val="subscript"/>
              </w:rPr>
              <w:t>2</w:t>
            </w:r>
            <w:r w:rsidRPr="0020075D">
              <w:rPr>
                <w:rFonts w:eastAsia="Times New Roman"/>
              </w:rPr>
              <w:t>-CAP_Existing+EE</w:t>
            </w:r>
          </w:p>
        </w:tc>
        <w:tc>
          <w:tcPr>
            <w:tcW w:w="1260" w:type="dxa"/>
            <w:tcBorders>
              <w:bottom w:val="single" w:sz="4" w:space="0" w:color="auto"/>
            </w:tcBorders>
            <w:shd w:val="clear" w:color="auto" w:fill="auto"/>
            <w:vAlign w:val="center"/>
          </w:tcPr>
          <w:p w14:paraId="64CE76FF"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1,833 </w:t>
            </w:r>
          </w:p>
        </w:tc>
        <w:tc>
          <w:tcPr>
            <w:tcW w:w="1170" w:type="dxa"/>
            <w:tcBorders>
              <w:bottom w:val="single" w:sz="4" w:space="0" w:color="auto"/>
            </w:tcBorders>
            <w:shd w:val="clear" w:color="auto" w:fill="auto"/>
            <w:vAlign w:val="bottom"/>
          </w:tcPr>
          <w:p w14:paraId="5FB7F60B"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-21%</w:t>
            </w:r>
          </w:p>
        </w:tc>
        <w:tc>
          <w:tcPr>
            <w:tcW w:w="1170" w:type="dxa"/>
            <w:tcBorders>
              <w:bottom w:val="single" w:sz="4" w:space="0" w:color="auto"/>
            </w:tcBorders>
            <w:shd w:val="clear" w:color="auto" w:fill="auto"/>
            <w:vAlign w:val="bottom"/>
          </w:tcPr>
          <w:p w14:paraId="2F66E2EE"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1.00 </w:t>
            </w:r>
          </w:p>
        </w:tc>
        <w:tc>
          <w:tcPr>
            <w:tcW w:w="1170" w:type="dxa"/>
            <w:tcBorders>
              <w:bottom w:val="single" w:sz="4" w:space="0" w:color="auto"/>
            </w:tcBorders>
            <w:shd w:val="clear" w:color="auto" w:fill="auto"/>
            <w:vAlign w:val="bottom"/>
          </w:tcPr>
          <w:p w14:paraId="191CA39F"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-29%</w:t>
            </w:r>
          </w:p>
        </w:tc>
        <w:tc>
          <w:tcPr>
            <w:tcW w:w="1170" w:type="dxa"/>
            <w:tcBorders>
              <w:bottom w:val="single" w:sz="4" w:space="0" w:color="auto"/>
            </w:tcBorders>
            <w:shd w:val="clear" w:color="auto" w:fill="auto"/>
            <w:vAlign w:val="bottom"/>
          </w:tcPr>
          <w:p w14:paraId="7ABDD876"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1.08 </w:t>
            </w:r>
          </w:p>
        </w:tc>
        <w:tc>
          <w:tcPr>
            <w:tcW w:w="1170" w:type="dxa"/>
            <w:tcBorders>
              <w:bottom w:val="single" w:sz="4" w:space="0" w:color="auto"/>
            </w:tcBorders>
            <w:shd w:val="clear" w:color="auto" w:fill="auto"/>
            <w:vAlign w:val="bottom"/>
          </w:tcPr>
          <w:p w14:paraId="60260E91"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-28%</w:t>
            </w:r>
          </w:p>
        </w:tc>
      </w:tr>
      <w:tr w:rsidR="00CA6589" w:rsidRPr="00753072" w14:paraId="7778C8E0" w14:textId="77777777" w:rsidTr="00CA6589">
        <w:tc>
          <w:tcPr>
            <w:tcW w:w="2178" w:type="dxa"/>
            <w:tcBorders>
              <w:top w:val="single" w:sz="4" w:space="0" w:color="auto"/>
            </w:tcBorders>
            <w:shd w:val="clear" w:color="auto" w:fill="auto"/>
            <w:vAlign w:val="bottom"/>
          </w:tcPr>
          <w:p w14:paraId="231E41C3" w14:textId="77777777" w:rsidR="00CA6589" w:rsidRPr="0020075D" w:rsidRDefault="00CA6589" w:rsidP="000656C9">
            <w:pPr>
              <w:pStyle w:val="TableofFigures"/>
              <w:spacing w:line="276" w:lineRule="auto"/>
              <w:rPr>
                <w:sz w:val="24"/>
                <w:szCs w:val="24"/>
              </w:rPr>
            </w:pPr>
            <w:r w:rsidRPr="0020075D">
              <w:rPr>
                <w:rFonts w:eastAsia="Times New Roman"/>
              </w:rPr>
              <w:t>CO</w:t>
            </w:r>
            <w:r w:rsidRPr="0020075D">
              <w:rPr>
                <w:rFonts w:eastAsia="Times New Roman"/>
                <w:vertAlign w:val="subscript"/>
              </w:rPr>
              <w:t>2</w:t>
            </w:r>
            <w:r w:rsidRPr="0020075D">
              <w:rPr>
                <w:rFonts w:eastAsia="Times New Roman"/>
              </w:rPr>
              <w:t>-CAP</w:t>
            </w:r>
            <w:r w:rsidRPr="0020075D">
              <w:t>_All</w:t>
            </w:r>
          </w:p>
        </w:tc>
        <w:tc>
          <w:tcPr>
            <w:tcW w:w="1260" w:type="dxa"/>
            <w:tcBorders>
              <w:top w:val="single" w:sz="4" w:space="0" w:color="auto"/>
            </w:tcBorders>
            <w:shd w:val="clear" w:color="auto" w:fill="auto"/>
            <w:vAlign w:val="center"/>
          </w:tcPr>
          <w:p w14:paraId="5ACD9CA5"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1,786 </w:t>
            </w:r>
          </w:p>
        </w:tc>
        <w:tc>
          <w:tcPr>
            <w:tcW w:w="1170" w:type="dxa"/>
            <w:tcBorders>
              <w:top w:val="single" w:sz="4" w:space="0" w:color="auto"/>
            </w:tcBorders>
            <w:shd w:val="clear" w:color="auto" w:fill="auto"/>
            <w:vAlign w:val="bottom"/>
          </w:tcPr>
          <w:p w14:paraId="1CFF58BC"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-23%</w:t>
            </w:r>
          </w:p>
        </w:tc>
        <w:tc>
          <w:tcPr>
            <w:tcW w:w="1170" w:type="dxa"/>
            <w:tcBorders>
              <w:top w:val="single" w:sz="4" w:space="0" w:color="auto"/>
            </w:tcBorders>
            <w:shd w:val="clear" w:color="auto" w:fill="auto"/>
            <w:vAlign w:val="bottom"/>
          </w:tcPr>
          <w:p w14:paraId="0AFBE244" w14:textId="77777777" w:rsidR="00CA6589" w:rsidRPr="00753072" w:rsidRDefault="00CA6589" w:rsidP="000656C9">
            <w:pPr>
              <w:pStyle w:val="TableofFigures"/>
              <w:spacing w:line="276" w:lineRule="auto"/>
              <w:jc w:val="center"/>
              <w:rPr>
                <w:sz w:val="24"/>
                <w:szCs w:val="24"/>
              </w:rPr>
            </w:pPr>
            <w:r w:rsidRPr="00753072">
              <w:rPr>
                <w:sz w:val="24"/>
                <w:szCs w:val="24"/>
              </w:rPr>
              <w:t xml:space="preserve">0.89 </w:t>
            </w:r>
          </w:p>
        </w:tc>
        <w:tc>
          <w:tcPr>
            <w:tcW w:w="1170" w:type="dxa"/>
            <w:tcBorders>
              <w:top w:val="single" w:sz="4" w:space="0" w:color="auto"/>
            </w:tcBorders>
            <w:shd w:val="clear" w:color="auto" w:fill="auto"/>
            <w:vAlign w:val="bottom"/>
          </w:tcPr>
          <w:p w14:paraId="7C24067E"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-37%</w:t>
            </w:r>
          </w:p>
        </w:tc>
        <w:tc>
          <w:tcPr>
            <w:tcW w:w="1170" w:type="dxa"/>
            <w:tcBorders>
              <w:top w:val="single" w:sz="4" w:space="0" w:color="auto"/>
            </w:tcBorders>
            <w:shd w:val="clear" w:color="auto" w:fill="auto"/>
            <w:vAlign w:val="bottom"/>
          </w:tcPr>
          <w:p w14:paraId="0D1A0E08"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1.02 </w:t>
            </w:r>
          </w:p>
        </w:tc>
        <w:tc>
          <w:tcPr>
            <w:tcW w:w="1170" w:type="dxa"/>
            <w:tcBorders>
              <w:top w:val="single" w:sz="4" w:space="0" w:color="auto"/>
            </w:tcBorders>
            <w:shd w:val="clear" w:color="auto" w:fill="auto"/>
            <w:vAlign w:val="bottom"/>
          </w:tcPr>
          <w:p w14:paraId="3B98FEEE"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-33%</w:t>
            </w:r>
          </w:p>
        </w:tc>
      </w:tr>
      <w:tr w:rsidR="00CA6589" w:rsidRPr="00753072" w14:paraId="180DEBC1" w14:textId="77777777" w:rsidTr="00CA6589">
        <w:trPr>
          <w:trHeight w:val="234"/>
        </w:trPr>
        <w:tc>
          <w:tcPr>
            <w:tcW w:w="2178" w:type="dxa"/>
            <w:tcBorders>
              <w:bottom w:val="single" w:sz="4" w:space="0" w:color="auto"/>
            </w:tcBorders>
            <w:shd w:val="clear" w:color="auto" w:fill="auto"/>
            <w:vAlign w:val="bottom"/>
          </w:tcPr>
          <w:p w14:paraId="6FBF2019" w14:textId="77777777" w:rsidR="00CA6589" w:rsidRPr="0020075D" w:rsidRDefault="00CA6589" w:rsidP="000656C9">
            <w:pPr>
              <w:pStyle w:val="TableofFigures"/>
              <w:spacing w:line="276" w:lineRule="auto"/>
              <w:rPr>
                <w:sz w:val="24"/>
                <w:szCs w:val="24"/>
              </w:rPr>
            </w:pPr>
            <w:r w:rsidRPr="0020075D">
              <w:rPr>
                <w:rFonts w:eastAsia="Times New Roman"/>
              </w:rPr>
              <w:t>CO</w:t>
            </w:r>
            <w:r w:rsidRPr="0020075D">
              <w:rPr>
                <w:rFonts w:eastAsia="Times New Roman"/>
                <w:vertAlign w:val="subscript"/>
              </w:rPr>
              <w:t>2</w:t>
            </w:r>
            <w:r w:rsidRPr="0020075D">
              <w:rPr>
                <w:rFonts w:eastAsia="Times New Roman"/>
              </w:rPr>
              <w:t>-CAP</w:t>
            </w:r>
            <w:r w:rsidRPr="0020075D">
              <w:t>_All+EE</w:t>
            </w:r>
          </w:p>
        </w:tc>
        <w:tc>
          <w:tcPr>
            <w:tcW w:w="1260" w:type="dxa"/>
            <w:tcBorders>
              <w:bottom w:val="single" w:sz="4" w:space="0" w:color="auto"/>
            </w:tcBorders>
            <w:shd w:val="clear" w:color="auto" w:fill="auto"/>
            <w:vAlign w:val="bottom"/>
          </w:tcPr>
          <w:p w14:paraId="123F607C"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1,762 </w:t>
            </w:r>
          </w:p>
        </w:tc>
        <w:tc>
          <w:tcPr>
            <w:tcW w:w="1170" w:type="dxa"/>
            <w:tcBorders>
              <w:bottom w:val="single" w:sz="4" w:space="0" w:color="auto"/>
            </w:tcBorders>
            <w:shd w:val="clear" w:color="auto" w:fill="auto"/>
            <w:vAlign w:val="bottom"/>
          </w:tcPr>
          <w:p w14:paraId="24654333"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-24%</w:t>
            </w:r>
          </w:p>
        </w:tc>
        <w:tc>
          <w:tcPr>
            <w:tcW w:w="1170" w:type="dxa"/>
            <w:tcBorders>
              <w:bottom w:val="single" w:sz="4" w:space="0" w:color="auto"/>
            </w:tcBorders>
            <w:shd w:val="clear" w:color="auto" w:fill="auto"/>
            <w:vAlign w:val="bottom"/>
          </w:tcPr>
          <w:p w14:paraId="5BCFC04F" w14:textId="77777777" w:rsidR="00CA6589" w:rsidRPr="00753072" w:rsidRDefault="00CA6589" w:rsidP="000656C9">
            <w:pPr>
              <w:pStyle w:val="TableofFigures"/>
              <w:spacing w:line="276" w:lineRule="auto"/>
              <w:jc w:val="center"/>
              <w:rPr>
                <w:sz w:val="24"/>
                <w:szCs w:val="24"/>
              </w:rPr>
            </w:pPr>
            <w:r w:rsidRPr="00753072">
              <w:rPr>
                <w:sz w:val="24"/>
                <w:szCs w:val="24"/>
              </w:rPr>
              <w:t xml:space="preserve">0.93 </w:t>
            </w:r>
          </w:p>
        </w:tc>
        <w:tc>
          <w:tcPr>
            <w:tcW w:w="1170" w:type="dxa"/>
            <w:tcBorders>
              <w:bottom w:val="single" w:sz="4" w:space="0" w:color="auto"/>
            </w:tcBorders>
            <w:shd w:val="clear" w:color="auto" w:fill="auto"/>
            <w:vAlign w:val="bottom"/>
          </w:tcPr>
          <w:p w14:paraId="4C118D29"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-34%</w:t>
            </w:r>
          </w:p>
        </w:tc>
        <w:tc>
          <w:tcPr>
            <w:tcW w:w="1170" w:type="dxa"/>
            <w:tcBorders>
              <w:bottom w:val="single" w:sz="4" w:space="0" w:color="auto"/>
            </w:tcBorders>
            <w:shd w:val="clear" w:color="auto" w:fill="auto"/>
            <w:vAlign w:val="bottom"/>
          </w:tcPr>
          <w:p w14:paraId="58613E67" w14:textId="77777777" w:rsidR="00CA6589" w:rsidRPr="00753072" w:rsidRDefault="00CA6589" w:rsidP="000656C9">
            <w:pPr>
              <w:pStyle w:val="TableofFigures"/>
              <w:spacing w:line="276" w:lineRule="auto"/>
              <w:jc w:val="center"/>
              <w:rPr>
                <w:sz w:val="24"/>
                <w:szCs w:val="24"/>
              </w:rPr>
            </w:pPr>
            <w:r w:rsidRPr="00753072">
              <w:rPr>
                <w:sz w:val="24"/>
                <w:szCs w:val="24"/>
              </w:rPr>
              <w:t xml:space="preserve">1.04 </w:t>
            </w:r>
          </w:p>
        </w:tc>
        <w:tc>
          <w:tcPr>
            <w:tcW w:w="1170" w:type="dxa"/>
            <w:tcBorders>
              <w:bottom w:val="single" w:sz="4" w:space="0" w:color="auto"/>
            </w:tcBorders>
            <w:shd w:val="clear" w:color="auto" w:fill="auto"/>
            <w:vAlign w:val="bottom"/>
          </w:tcPr>
          <w:p w14:paraId="25A3CD76" w14:textId="77777777" w:rsidR="00CA6589" w:rsidRPr="00753072" w:rsidRDefault="00CA6589" w:rsidP="000656C9">
            <w:pPr>
              <w:pStyle w:val="TableofFigures"/>
              <w:spacing w:line="276" w:lineRule="auto"/>
              <w:jc w:val="center"/>
              <w:rPr>
                <w:sz w:val="24"/>
                <w:szCs w:val="24"/>
              </w:rPr>
            </w:pPr>
            <w:r w:rsidRPr="00753072">
              <w:rPr>
                <w:rFonts w:eastAsia="Times New Roman"/>
                <w:color w:val="000000"/>
                <w:sz w:val="24"/>
                <w:szCs w:val="24"/>
              </w:rPr>
              <w:t>-31%</w:t>
            </w:r>
          </w:p>
        </w:tc>
      </w:tr>
    </w:tbl>
    <w:p w14:paraId="691A1451" w14:textId="77777777" w:rsidR="00CA6589" w:rsidRDefault="00CA6589" w:rsidP="000656C9">
      <w:pPr>
        <w:pStyle w:val="Caption"/>
        <w:spacing w:line="276" w:lineRule="auto"/>
        <w:rPr>
          <w:i w:val="0"/>
          <w:color w:val="0D0D0D" w:themeColor="text1" w:themeTint="F2"/>
          <w:sz w:val="24"/>
          <w:szCs w:val="24"/>
        </w:rPr>
      </w:pPr>
      <w:proofErr w:type="gramStart"/>
      <w:r w:rsidRPr="009468AC">
        <w:rPr>
          <w:i w:val="0"/>
          <w:color w:val="0D0D0D" w:themeColor="text1" w:themeTint="F2"/>
          <w:sz w:val="24"/>
          <w:szCs w:val="24"/>
          <w:vertAlign w:val="superscript"/>
        </w:rPr>
        <w:t>a</w:t>
      </w:r>
      <w:proofErr w:type="gramEnd"/>
      <w:r w:rsidRPr="009468AC">
        <w:rPr>
          <w:i w:val="0"/>
          <w:color w:val="0D0D0D" w:themeColor="text1" w:themeTint="F2"/>
          <w:sz w:val="24"/>
          <w:szCs w:val="24"/>
        </w:rPr>
        <w:t xml:space="preserve"> </w:t>
      </w:r>
      <w:proofErr w:type="spellStart"/>
      <w:r w:rsidRPr="009468AC">
        <w:rPr>
          <w:i w:val="0"/>
          <w:color w:val="0D0D0D" w:themeColor="text1" w:themeTint="F2"/>
          <w:sz w:val="24"/>
          <w:szCs w:val="24"/>
        </w:rPr>
        <w:t>A</w:t>
      </w:r>
      <w:proofErr w:type="spellEnd"/>
      <w:r w:rsidRPr="009468AC">
        <w:rPr>
          <w:i w:val="0"/>
          <w:color w:val="0D0D0D" w:themeColor="text1" w:themeTint="F2"/>
          <w:sz w:val="24"/>
          <w:szCs w:val="24"/>
        </w:rPr>
        <w:t xml:space="preserve"> metric ton (1,000 kilograms) is 1.10231 times larger than a short ton (2,000 pounds). </w:t>
      </w:r>
    </w:p>
    <w:p w14:paraId="288A5306" w14:textId="77777777" w:rsidR="00CA6589" w:rsidRPr="009468AC" w:rsidRDefault="00CA6589" w:rsidP="000656C9">
      <w:pPr>
        <w:pStyle w:val="Caption"/>
        <w:spacing w:before="100" w:beforeAutospacing="1" w:after="100" w:afterAutospacing="1" w:line="276" w:lineRule="auto"/>
        <w:rPr>
          <w:i w:val="0"/>
          <w:color w:val="0D0D0D" w:themeColor="text1" w:themeTint="F2"/>
          <w:sz w:val="24"/>
          <w:szCs w:val="24"/>
        </w:rPr>
      </w:pPr>
      <w:r w:rsidRPr="009468AC">
        <w:rPr>
          <w:i w:val="0"/>
          <w:color w:val="0D0D0D" w:themeColor="text1" w:themeTint="F2"/>
          <w:sz w:val="24"/>
          <w:szCs w:val="24"/>
        </w:rPr>
        <w:t>“% Change” is base</w:t>
      </w:r>
      <w:r>
        <w:rPr>
          <w:i w:val="0"/>
          <w:color w:val="0D0D0D" w:themeColor="text1" w:themeTint="F2"/>
          <w:sz w:val="24"/>
          <w:szCs w:val="24"/>
        </w:rPr>
        <w:t>d on the difference between the mitigation scenario</w:t>
      </w:r>
      <w:r w:rsidRPr="009468AC">
        <w:rPr>
          <w:i w:val="0"/>
          <w:color w:val="0D0D0D" w:themeColor="text1" w:themeTint="F2"/>
          <w:sz w:val="24"/>
          <w:szCs w:val="24"/>
        </w:rPr>
        <w:t xml:space="preserve"> in 2030 and the Reference case forecast for 2030.</w:t>
      </w:r>
    </w:p>
    <w:p w14:paraId="33197F53" w14:textId="109D3F01" w:rsidR="001A7352" w:rsidRPr="00C40B08" w:rsidRDefault="00DB67BB" w:rsidP="000656C9">
      <w:pPr>
        <w:spacing w:before="100" w:beforeAutospacing="1" w:after="100" w:afterAutospacing="1" w:line="276" w:lineRule="auto"/>
        <w:rPr>
          <w:rFonts w:ascii="Calibri" w:hAnsi="Calibri"/>
        </w:rPr>
      </w:pPr>
      <w:r w:rsidRPr="00C40B08">
        <w:rPr>
          <w:rFonts w:ascii="Calibri" w:hAnsi="Calibri"/>
        </w:rPr>
        <w:t>By combining</w:t>
      </w:r>
      <w:r w:rsidR="00423691" w:rsidRPr="00C40B08">
        <w:rPr>
          <w:rFonts w:ascii="Calibri" w:hAnsi="Calibri"/>
        </w:rPr>
        <w:t xml:space="preserve"> </w:t>
      </w:r>
      <w:r w:rsidRPr="00C40B08">
        <w:rPr>
          <w:rFonts w:ascii="Calibri" w:hAnsi="Calibri"/>
        </w:rPr>
        <w:t>these</w:t>
      </w:r>
      <w:r w:rsidR="00423691" w:rsidRPr="00C40B08">
        <w:rPr>
          <w:rFonts w:ascii="Calibri" w:hAnsi="Calibri"/>
        </w:rPr>
        <w:t xml:space="preserve"> with </w:t>
      </w:r>
      <w:r w:rsidR="00260568" w:rsidRPr="00C40B08">
        <w:rPr>
          <w:rFonts w:ascii="Calibri" w:hAnsi="Calibri"/>
        </w:rPr>
        <w:t>estimated</w:t>
      </w:r>
      <w:r w:rsidR="00423691" w:rsidRPr="00C40B08">
        <w:rPr>
          <w:rFonts w:ascii="Calibri" w:hAnsi="Calibri"/>
        </w:rPr>
        <w:t xml:space="preserve"> benefits-per-ton of reduced CO</w:t>
      </w:r>
      <w:r w:rsidR="00423691" w:rsidRPr="00C40B08">
        <w:rPr>
          <w:rFonts w:ascii="Calibri" w:hAnsi="Calibri"/>
          <w:vertAlign w:val="subscript"/>
        </w:rPr>
        <w:t>2</w:t>
      </w:r>
      <w:r w:rsidR="00423691" w:rsidRPr="00C40B08">
        <w:rPr>
          <w:rFonts w:ascii="Calibri" w:hAnsi="Calibri"/>
        </w:rPr>
        <w:t>, SO</w:t>
      </w:r>
      <w:r w:rsidR="00423691" w:rsidRPr="00C40B08">
        <w:rPr>
          <w:rFonts w:ascii="Calibri" w:hAnsi="Calibri"/>
          <w:vertAlign w:val="subscript"/>
        </w:rPr>
        <w:t>2</w:t>
      </w:r>
      <w:r w:rsidR="00423691" w:rsidRPr="00C40B08">
        <w:rPr>
          <w:rFonts w:ascii="Calibri" w:hAnsi="Calibri"/>
        </w:rPr>
        <w:t xml:space="preserve"> and NOx </w:t>
      </w:r>
      <w:r w:rsidR="00260568" w:rsidRPr="00C40B08">
        <w:rPr>
          <w:rFonts w:ascii="Calibri" w:hAnsi="Calibri"/>
        </w:rPr>
        <w:t>developed by EPA (EPA, 2015a)</w:t>
      </w:r>
      <w:r w:rsidRPr="00C40B08">
        <w:rPr>
          <w:rFonts w:ascii="Calibri" w:hAnsi="Calibri"/>
        </w:rPr>
        <w:t>,</w:t>
      </w:r>
      <w:r w:rsidR="00423691" w:rsidRPr="00C40B08">
        <w:rPr>
          <w:rFonts w:ascii="Calibri" w:hAnsi="Calibri"/>
        </w:rPr>
        <w:t xml:space="preserve"> </w:t>
      </w:r>
      <w:r w:rsidR="00492E3A" w:rsidRPr="00C40B08">
        <w:rPr>
          <w:rFonts w:ascii="Calibri" w:hAnsi="Calibri"/>
        </w:rPr>
        <w:t xml:space="preserve">Table </w:t>
      </w:r>
      <w:r w:rsidR="00D44075" w:rsidRPr="00C40B08">
        <w:rPr>
          <w:rFonts w:ascii="Calibri" w:hAnsi="Calibri"/>
        </w:rPr>
        <w:t>6</w:t>
      </w:r>
      <w:r w:rsidR="00423691" w:rsidRPr="00C40B08">
        <w:rPr>
          <w:rFonts w:ascii="Calibri" w:hAnsi="Calibri"/>
        </w:rPr>
        <w:t xml:space="preserve"> </w:t>
      </w:r>
      <w:r w:rsidR="00260568" w:rsidRPr="00C40B08">
        <w:rPr>
          <w:rFonts w:ascii="Calibri" w:hAnsi="Calibri"/>
        </w:rPr>
        <w:t xml:space="preserve">provides the </w:t>
      </w:r>
      <w:r w:rsidR="00423691" w:rsidRPr="00C40B08">
        <w:rPr>
          <w:rFonts w:ascii="Calibri" w:hAnsi="Calibri"/>
        </w:rPr>
        <w:t>estimate</w:t>
      </w:r>
      <w:r w:rsidR="00260568" w:rsidRPr="00C40B08">
        <w:rPr>
          <w:rFonts w:ascii="Calibri" w:hAnsi="Calibri"/>
        </w:rPr>
        <w:t>d</w:t>
      </w:r>
      <w:r w:rsidR="00423691" w:rsidRPr="00C40B08">
        <w:rPr>
          <w:rFonts w:ascii="Calibri" w:hAnsi="Calibri"/>
        </w:rPr>
        <w:t xml:space="preserve"> benefits of decreasing these air pollutants in the year 2030</w:t>
      </w:r>
      <w:r w:rsidR="00260568" w:rsidRPr="00C40B08">
        <w:rPr>
          <w:rFonts w:ascii="Calibri" w:hAnsi="Calibri"/>
        </w:rPr>
        <w:t>.</w:t>
      </w:r>
      <w:r w:rsidR="00492E3A" w:rsidRPr="00C40B08">
        <w:rPr>
          <w:rFonts w:ascii="Calibri" w:hAnsi="Calibri"/>
        </w:rPr>
        <w:t xml:space="preserve"> </w:t>
      </w:r>
      <w:r w:rsidRPr="00C40B08">
        <w:rPr>
          <w:rFonts w:ascii="Calibri" w:hAnsi="Calibri"/>
        </w:rPr>
        <w:t>Specifically, t</w:t>
      </w:r>
      <w:r w:rsidR="00423691" w:rsidRPr="00C40B08">
        <w:rPr>
          <w:rFonts w:ascii="Calibri" w:hAnsi="Calibri"/>
        </w:rPr>
        <w:t xml:space="preserve">he </w:t>
      </w:r>
      <w:r w:rsidR="006C32A9">
        <w:rPr>
          <w:rFonts w:ascii="Calibri" w:hAnsi="Calibri"/>
        </w:rPr>
        <w:t>mitigation</w:t>
      </w:r>
      <w:r w:rsidR="00423691" w:rsidRPr="00C40B08">
        <w:rPr>
          <w:rFonts w:ascii="Calibri" w:hAnsi="Calibri"/>
        </w:rPr>
        <w:t xml:space="preserve"> scenarios would produce estimated co-benefits ranging from $</w:t>
      </w:r>
      <w:r w:rsidR="00855D0A" w:rsidRPr="00C40B08">
        <w:rPr>
          <w:rFonts w:ascii="Calibri" w:hAnsi="Calibri"/>
        </w:rPr>
        <w:t xml:space="preserve">43 </w:t>
      </w:r>
      <w:r w:rsidR="00423691" w:rsidRPr="00C40B08">
        <w:rPr>
          <w:rFonts w:ascii="Calibri" w:hAnsi="Calibri"/>
        </w:rPr>
        <w:t>to $</w:t>
      </w:r>
      <w:r w:rsidR="00855D0A" w:rsidRPr="00C40B08">
        <w:rPr>
          <w:rFonts w:ascii="Calibri" w:hAnsi="Calibri"/>
        </w:rPr>
        <w:t xml:space="preserve">100 </w:t>
      </w:r>
      <w:r w:rsidR="00423691" w:rsidRPr="00C40B08">
        <w:rPr>
          <w:rFonts w:ascii="Calibri" w:hAnsi="Calibri"/>
        </w:rPr>
        <w:t>billion (in $2013)</w:t>
      </w:r>
      <w:r w:rsidR="00492E3A" w:rsidRPr="00C40B08">
        <w:rPr>
          <w:rFonts w:ascii="Calibri" w:hAnsi="Calibri"/>
        </w:rPr>
        <w:t xml:space="preserve"> in 2030,</w:t>
      </w:r>
      <w:r w:rsidR="00423691" w:rsidRPr="00C40B08">
        <w:rPr>
          <w:rFonts w:ascii="Calibri" w:hAnsi="Calibri"/>
        </w:rPr>
        <w:t xml:space="preserve"> </w:t>
      </w:r>
      <w:r w:rsidRPr="00C40B08">
        <w:rPr>
          <w:rFonts w:ascii="Calibri" w:hAnsi="Calibri"/>
        </w:rPr>
        <w:t>similar to</w:t>
      </w:r>
      <w:r w:rsidR="00423691" w:rsidRPr="00C40B08">
        <w:rPr>
          <w:rFonts w:ascii="Calibri" w:hAnsi="Calibri"/>
        </w:rPr>
        <w:t xml:space="preserve"> the estimate of $33 to $86 billion (in $2012) in 2030 </w:t>
      </w:r>
      <w:r w:rsidR="00492E3A" w:rsidRPr="00C40B08">
        <w:rPr>
          <w:rFonts w:ascii="Calibri" w:hAnsi="Calibri"/>
        </w:rPr>
        <w:t>estimated</w:t>
      </w:r>
      <w:r w:rsidR="00423691" w:rsidRPr="00C40B08">
        <w:rPr>
          <w:rFonts w:ascii="Calibri" w:hAnsi="Calibri"/>
        </w:rPr>
        <w:t xml:space="preserve"> by M.J. Bradley (2015, p. 20).</w:t>
      </w:r>
    </w:p>
    <w:p w14:paraId="629319C4" w14:textId="77777777" w:rsidR="003F04FC" w:rsidRDefault="003F04FC" w:rsidP="000656C9">
      <w:pPr>
        <w:spacing w:after="160" w:line="276" w:lineRule="auto"/>
        <w:rPr>
          <w:rFonts w:ascii="Calibri" w:hAnsi="Calibri" w:cstheme="minorBidi"/>
          <w:b/>
        </w:rPr>
      </w:pPr>
      <w:r>
        <w:rPr>
          <w:rFonts w:ascii="Calibri" w:hAnsi="Calibri"/>
        </w:rPr>
        <w:br w:type="page"/>
      </w:r>
    </w:p>
    <w:p w14:paraId="52A58031" w14:textId="5A895BC9" w:rsidR="00C52798" w:rsidRDefault="00492E3A"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lastRenderedPageBreak/>
        <w:t xml:space="preserve">Table </w:t>
      </w:r>
      <w:r w:rsidR="00D44075" w:rsidRPr="00C40B08">
        <w:rPr>
          <w:rFonts w:ascii="Calibri" w:hAnsi="Calibri"/>
          <w:color w:val="auto"/>
          <w:sz w:val="24"/>
          <w:szCs w:val="24"/>
        </w:rPr>
        <w:t>6</w:t>
      </w:r>
      <w:r w:rsidR="001A7352" w:rsidRPr="00C40B08">
        <w:rPr>
          <w:rFonts w:ascii="Calibri" w:hAnsi="Calibri"/>
          <w:color w:val="auto"/>
          <w:sz w:val="24"/>
          <w:szCs w:val="24"/>
        </w:rPr>
        <w:t xml:space="preserve">. Total Benefits of Reducing </w:t>
      </w:r>
      <w:r w:rsidR="00136071" w:rsidRPr="00C40B08">
        <w:rPr>
          <w:rFonts w:ascii="Calibri" w:hAnsi="Calibri"/>
          <w:color w:val="auto"/>
          <w:sz w:val="24"/>
          <w:szCs w:val="24"/>
        </w:rPr>
        <w:t>CO</w:t>
      </w:r>
      <w:r w:rsidR="00136071" w:rsidRPr="00C40B08">
        <w:rPr>
          <w:rFonts w:ascii="Calibri" w:hAnsi="Calibri"/>
          <w:color w:val="auto"/>
          <w:sz w:val="24"/>
          <w:szCs w:val="24"/>
          <w:vertAlign w:val="subscript"/>
        </w:rPr>
        <w:t>2</w:t>
      </w:r>
      <w:r w:rsidR="001A7352" w:rsidRPr="00C40B08">
        <w:rPr>
          <w:rFonts w:ascii="Calibri" w:hAnsi="Calibri"/>
          <w:color w:val="auto"/>
          <w:sz w:val="24"/>
          <w:szCs w:val="24"/>
        </w:rPr>
        <w:t>, Sulfur Dioxide, and Nitrogen Oxides in 2030</w:t>
      </w:r>
      <w:r w:rsidR="000978F8" w:rsidRPr="00C40B08">
        <w:rPr>
          <w:rFonts w:ascii="Calibri" w:hAnsi="Calibri"/>
          <w:color w:val="auto"/>
          <w:sz w:val="24"/>
          <w:szCs w:val="24"/>
          <w:vertAlign w:val="superscript"/>
        </w:rPr>
        <w: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710"/>
        <w:gridCol w:w="1862"/>
        <w:gridCol w:w="1669"/>
        <w:gridCol w:w="1689"/>
      </w:tblGrid>
      <w:tr w:rsidR="00CA6589" w:rsidRPr="00753072" w14:paraId="2553E1CF" w14:textId="77777777" w:rsidTr="00CA6589">
        <w:tc>
          <w:tcPr>
            <w:tcW w:w="2430" w:type="dxa"/>
            <w:tcBorders>
              <w:top w:val="single" w:sz="4" w:space="0" w:color="auto"/>
            </w:tcBorders>
          </w:tcPr>
          <w:p w14:paraId="3561CC4D" w14:textId="77777777" w:rsidR="00CA6589" w:rsidRPr="00753072" w:rsidRDefault="00CA6589" w:rsidP="000656C9">
            <w:pPr>
              <w:spacing w:line="276" w:lineRule="auto"/>
              <w:rPr>
                <w:rFonts w:asciiTheme="minorHAnsi" w:hAnsiTheme="minorHAnsi"/>
                <w:b/>
              </w:rPr>
            </w:pPr>
            <w:r w:rsidRPr="00753072">
              <w:rPr>
                <w:rFonts w:asciiTheme="minorHAnsi" w:hAnsiTheme="minorHAnsi"/>
              </w:rPr>
              <w:t xml:space="preserve">Monetized benefits </w:t>
            </w:r>
            <w:r w:rsidRPr="00753072">
              <w:rPr>
                <w:rFonts w:asciiTheme="minorHAnsi" w:hAnsiTheme="minorHAnsi"/>
              </w:rPr>
              <w:br/>
              <w:t>in 2030 (in billions $2013)</w:t>
            </w:r>
          </w:p>
        </w:tc>
        <w:tc>
          <w:tcPr>
            <w:tcW w:w="1710" w:type="dxa"/>
            <w:tcBorders>
              <w:top w:val="single" w:sz="4" w:space="0" w:color="auto"/>
            </w:tcBorders>
          </w:tcPr>
          <w:p w14:paraId="03E7654B" w14:textId="77777777" w:rsidR="00CA6589" w:rsidRPr="00753072" w:rsidRDefault="00CA6589" w:rsidP="000656C9">
            <w:pPr>
              <w:spacing w:line="276" w:lineRule="auto"/>
              <w:jc w:val="center"/>
              <w:rPr>
                <w:rFonts w:asciiTheme="minorHAnsi" w:hAnsiTheme="minorHAnsi"/>
                <w:b/>
              </w:rPr>
            </w:pPr>
          </w:p>
          <w:p w14:paraId="5F258E04" w14:textId="77777777" w:rsidR="00CA6589" w:rsidRPr="00753072" w:rsidRDefault="00CA6589" w:rsidP="000656C9">
            <w:pPr>
              <w:spacing w:line="276" w:lineRule="auto"/>
              <w:jc w:val="center"/>
              <w:rPr>
                <w:rFonts w:asciiTheme="minorHAnsi" w:hAnsiTheme="minorHAnsi"/>
                <w:b/>
              </w:rPr>
            </w:pPr>
            <w:r w:rsidRPr="00753072">
              <w:rPr>
                <w:rFonts w:asciiTheme="minorHAnsi" w:hAnsiTheme="minorHAnsi"/>
                <w:b/>
              </w:rPr>
              <w:t>Carbon Dioxide</w:t>
            </w:r>
          </w:p>
        </w:tc>
        <w:tc>
          <w:tcPr>
            <w:tcW w:w="1862" w:type="dxa"/>
            <w:tcBorders>
              <w:top w:val="single" w:sz="4" w:space="0" w:color="auto"/>
            </w:tcBorders>
          </w:tcPr>
          <w:p w14:paraId="3EC609E4" w14:textId="77777777" w:rsidR="00CA6589" w:rsidRPr="00753072" w:rsidRDefault="00CA6589" w:rsidP="000656C9">
            <w:pPr>
              <w:pStyle w:val="TableofFigures"/>
              <w:spacing w:line="276" w:lineRule="auto"/>
              <w:jc w:val="center"/>
              <w:rPr>
                <w:b/>
                <w:sz w:val="24"/>
                <w:szCs w:val="24"/>
              </w:rPr>
            </w:pPr>
          </w:p>
          <w:p w14:paraId="4E7652E2" w14:textId="77777777" w:rsidR="00CA6589" w:rsidRPr="00753072" w:rsidRDefault="00CA6589" w:rsidP="000656C9">
            <w:pPr>
              <w:pStyle w:val="TableofFigures"/>
              <w:spacing w:line="276" w:lineRule="auto"/>
              <w:jc w:val="center"/>
              <w:rPr>
                <w:b/>
                <w:sz w:val="24"/>
                <w:szCs w:val="24"/>
              </w:rPr>
            </w:pPr>
            <w:r w:rsidRPr="00753072">
              <w:rPr>
                <w:b/>
                <w:sz w:val="24"/>
                <w:szCs w:val="24"/>
              </w:rPr>
              <w:t>Sulfur Dioxide</w:t>
            </w:r>
          </w:p>
        </w:tc>
        <w:tc>
          <w:tcPr>
            <w:tcW w:w="1669" w:type="dxa"/>
            <w:tcBorders>
              <w:top w:val="single" w:sz="4" w:space="0" w:color="auto"/>
            </w:tcBorders>
          </w:tcPr>
          <w:p w14:paraId="2C5686E3" w14:textId="77777777" w:rsidR="00CA6589" w:rsidRPr="00753072" w:rsidRDefault="00CA6589" w:rsidP="000656C9">
            <w:pPr>
              <w:spacing w:line="276" w:lineRule="auto"/>
              <w:jc w:val="center"/>
              <w:rPr>
                <w:rFonts w:asciiTheme="minorHAnsi" w:hAnsiTheme="minorHAnsi"/>
                <w:b/>
              </w:rPr>
            </w:pPr>
          </w:p>
          <w:p w14:paraId="0E8183B1" w14:textId="77777777" w:rsidR="00CA6589" w:rsidRPr="00753072" w:rsidRDefault="00CA6589" w:rsidP="000656C9">
            <w:pPr>
              <w:spacing w:line="276" w:lineRule="auto"/>
              <w:jc w:val="center"/>
              <w:rPr>
                <w:rFonts w:asciiTheme="minorHAnsi" w:hAnsiTheme="minorHAnsi"/>
                <w:b/>
              </w:rPr>
            </w:pPr>
            <w:r w:rsidRPr="00753072">
              <w:rPr>
                <w:rFonts w:asciiTheme="minorHAnsi" w:hAnsiTheme="minorHAnsi"/>
                <w:b/>
              </w:rPr>
              <w:t>Nitrogen Oxide</w:t>
            </w:r>
          </w:p>
        </w:tc>
        <w:tc>
          <w:tcPr>
            <w:tcW w:w="1689" w:type="dxa"/>
            <w:tcBorders>
              <w:top w:val="single" w:sz="4" w:space="0" w:color="auto"/>
            </w:tcBorders>
          </w:tcPr>
          <w:p w14:paraId="19A5CCE2" w14:textId="77777777" w:rsidR="00CA6589" w:rsidRPr="00753072" w:rsidRDefault="00CA6589" w:rsidP="000656C9">
            <w:pPr>
              <w:spacing w:line="276" w:lineRule="auto"/>
              <w:jc w:val="center"/>
              <w:rPr>
                <w:rFonts w:asciiTheme="minorHAnsi" w:hAnsiTheme="minorHAnsi"/>
                <w:b/>
              </w:rPr>
            </w:pPr>
          </w:p>
          <w:p w14:paraId="08B1BAB2" w14:textId="77777777" w:rsidR="00CA6589" w:rsidRPr="00753072" w:rsidRDefault="00CA6589" w:rsidP="000656C9">
            <w:pPr>
              <w:spacing w:line="276" w:lineRule="auto"/>
              <w:jc w:val="center"/>
              <w:rPr>
                <w:rFonts w:asciiTheme="minorHAnsi" w:hAnsiTheme="minorHAnsi"/>
                <w:b/>
              </w:rPr>
            </w:pPr>
            <w:r w:rsidRPr="00753072">
              <w:rPr>
                <w:rFonts w:asciiTheme="minorHAnsi" w:hAnsiTheme="minorHAnsi"/>
                <w:b/>
              </w:rPr>
              <w:t>Total</w:t>
            </w:r>
          </w:p>
        </w:tc>
      </w:tr>
      <w:tr w:rsidR="00CA6589" w:rsidRPr="00753072" w14:paraId="32CB4C17" w14:textId="77777777" w:rsidTr="00CA6589">
        <w:tc>
          <w:tcPr>
            <w:tcW w:w="2430" w:type="dxa"/>
            <w:tcBorders>
              <w:top w:val="single" w:sz="4" w:space="0" w:color="auto"/>
            </w:tcBorders>
          </w:tcPr>
          <w:p w14:paraId="1E0A7CF2" w14:textId="77777777" w:rsidR="00CA6589" w:rsidRPr="00753072" w:rsidRDefault="00CA6589" w:rsidP="000656C9">
            <w:pPr>
              <w:spacing w:line="276" w:lineRule="auto"/>
              <w:rPr>
                <w:rFonts w:asciiTheme="minorHAnsi" w:hAnsiTheme="minorHAnsi"/>
              </w:rPr>
            </w:pPr>
            <w:r w:rsidRPr="00753072">
              <w:rPr>
                <w:rFonts w:asciiTheme="minorHAnsi" w:hAnsiTheme="minorHAnsi"/>
                <w:b/>
              </w:rPr>
              <w:t>2030 Reference Case</w:t>
            </w:r>
          </w:p>
        </w:tc>
        <w:tc>
          <w:tcPr>
            <w:tcW w:w="1710" w:type="dxa"/>
            <w:tcBorders>
              <w:top w:val="single" w:sz="4" w:space="0" w:color="auto"/>
            </w:tcBorders>
          </w:tcPr>
          <w:p w14:paraId="136812FA" w14:textId="77777777" w:rsidR="00CA6589" w:rsidRPr="00753072" w:rsidRDefault="00CA6589" w:rsidP="000656C9">
            <w:pPr>
              <w:spacing w:line="276" w:lineRule="auto"/>
              <w:jc w:val="center"/>
              <w:rPr>
                <w:rFonts w:asciiTheme="minorHAnsi" w:hAnsiTheme="minorHAnsi"/>
              </w:rPr>
            </w:pPr>
          </w:p>
        </w:tc>
        <w:tc>
          <w:tcPr>
            <w:tcW w:w="1862" w:type="dxa"/>
            <w:tcBorders>
              <w:top w:val="single" w:sz="4" w:space="0" w:color="auto"/>
            </w:tcBorders>
          </w:tcPr>
          <w:p w14:paraId="1AACCA1A" w14:textId="77777777" w:rsidR="00CA6589" w:rsidRPr="00753072" w:rsidRDefault="00CA6589" w:rsidP="000656C9">
            <w:pPr>
              <w:spacing w:line="276" w:lineRule="auto"/>
              <w:jc w:val="center"/>
              <w:rPr>
                <w:rFonts w:asciiTheme="minorHAnsi" w:hAnsiTheme="minorHAnsi"/>
              </w:rPr>
            </w:pPr>
          </w:p>
        </w:tc>
        <w:tc>
          <w:tcPr>
            <w:tcW w:w="1669" w:type="dxa"/>
            <w:tcBorders>
              <w:top w:val="single" w:sz="4" w:space="0" w:color="auto"/>
            </w:tcBorders>
          </w:tcPr>
          <w:p w14:paraId="71D213A5" w14:textId="77777777" w:rsidR="00CA6589" w:rsidRPr="00753072" w:rsidRDefault="00CA6589" w:rsidP="000656C9">
            <w:pPr>
              <w:spacing w:line="276" w:lineRule="auto"/>
              <w:jc w:val="center"/>
              <w:rPr>
                <w:rFonts w:asciiTheme="minorHAnsi" w:hAnsiTheme="minorHAnsi"/>
              </w:rPr>
            </w:pPr>
          </w:p>
        </w:tc>
        <w:tc>
          <w:tcPr>
            <w:tcW w:w="1689" w:type="dxa"/>
            <w:tcBorders>
              <w:top w:val="single" w:sz="4" w:space="0" w:color="auto"/>
            </w:tcBorders>
          </w:tcPr>
          <w:p w14:paraId="234896BB" w14:textId="77777777" w:rsidR="00CA6589" w:rsidRPr="00753072" w:rsidRDefault="00CA6589" w:rsidP="000656C9">
            <w:pPr>
              <w:spacing w:line="276" w:lineRule="auto"/>
              <w:jc w:val="center"/>
              <w:rPr>
                <w:rFonts w:asciiTheme="minorHAnsi" w:hAnsiTheme="minorHAnsi"/>
              </w:rPr>
            </w:pPr>
          </w:p>
        </w:tc>
      </w:tr>
      <w:tr w:rsidR="00CA6589" w:rsidRPr="00753072" w14:paraId="669CEC47" w14:textId="77777777" w:rsidTr="00CA6589">
        <w:tc>
          <w:tcPr>
            <w:tcW w:w="2430" w:type="dxa"/>
            <w:tcBorders>
              <w:bottom w:val="single" w:sz="4" w:space="0" w:color="auto"/>
            </w:tcBorders>
          </w:tcPr>
          <w:p w14:paraId="3C32E51F" w14:textId="77777777" w:rsidR="00CA6589" w:rsidRPr="00753072" w:rsidRDefault="00CA6589" w:rsidP="000656C9">
            <w:pPr>
              <w:spacing w:line="276" w:lineRule="auto"/>
              <w:rPr>
                <w:rFonts w:asciiTheme="minorHAnsi" w:hAnsiTheme="minorHAnsi"/>
              </w:rPr>
            </w:pPr>
            <w:r w:rsidRPr="00753072">
              <w:rPr>
                <w:rFonts w:asciiTheme="minorHAnsi" w:hAnsiTheme="minorHAnsi"/>
              </w:rPr>
              <w:t xml:space="preserve">Reference </w:t>
            </w:r>
            <w:proofErr w:type="spellStart"/>
            <w:r w:rsidRPr="00753072">
              <w:rPr>
                <w:rFonts w:asciiTheme="minorHAnsi" w:hAnsiTheme="minorHAnsi"/>
              </w:rPr>
              <w:t>Case+EE</w:t>
            </w:r>
            <w:proofErr w:type="spellEnd"/>
          </w:p>
        </w:tc>
        <w:tc>
          <w:tcPr>
            <w:tcW w:w="1710" w:type="dxa"/>
            <w:tcBorders>
              <w:bottom w:val="single" w:sz="4" w:space="0" w:color="auto"/>
            </w:tcBorders>
          </w:tcPr>
          <w:p w14:paraId="078CBD24" w14:textId="77777777" w:rsidR="00CA6589" w:rsidRPr="00753072" w:rsidRDefault="00CA6589" w:rsidP="000656C9">
            <w:pPr>
              <w:spacing w:line="276" w:lineRule="auto"/>
              <w:jc w:val="center"/>
              <w:rPr>
                <w:rFonts w:asciiTheme="minorHAnsi" w:hAnsiTheme="minorHAnsi"/>
              </w:rPr>
            </w:pPr>
            <w:r w:rsidRPr="00753072">
              <w:rPr>
                <w:rFonts w:asciiTheme="minorHAnsi" w:eastAsia="Times New Roman" w:hAnsiTheme="minorHAnsi"/>
                <w:color w:val="000000"/>
              </w:rPr>
              <w:t>4.3</w:t>
            </w:r>
          </w:p>
        </w:tc>
        <w:tc>
          <w:tcPr>
            <w:tcW w:w="1862" w:type="dxa"/>
            <w:tcBorders>
              <w:bottom w:val="single" w:sz="4" w:space="0" w:color="auto"/>
            </w:tcBorders>
          </w:tcPr>
          <w:p w14:paraId="3D40D09D"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1.7 - 4.0</w:t>
            </w:r>
          </w:p>
        </w:tc>
        <w:tc>
          <w:tcPr>
            <w:tcW w:w="1669" w:type="dxa"/>
            <w:tcBorders>
              <w:bottom w:val="single" w:sz="4" w:space="0" w:color="auto"/>
            </w:tcBorders>
          </w:tcPr>
          <w:p w14:paraId="7A8FFC43"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0.5 – 1.6</w:t>
            </w:r>
          </w:p>
        </w:tc>
        <w:tc>
          <w:tcPr>
            <w:tcW w:w="1689" w:type="dxa"/>
            <w:tcBorders>
              <w:bottom w:val="single" w:sz="4" w:space="0" w:color="auto"/>
            </w:tcBorders>
          </w:tcPr>
          <w:p w14:paraId="00CD7F65"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6.5 – 9.9</w:t>
            </w:r>
          </w:p>
        </w:tc>
      </w:tr>
      <w:tr w:rsidR="00CA6589" w:rsidRPr="00753072" w14:paraId="2567543A" w14:textId="77777777" w:rsidTr="00CA6589">
        <w:tc>
          <w:tcPr>
            <w:tcW w:w="2430" w:type="dxa"/>
            <w:tcBorders>
              <w:top w:val="single" w:sz="4" w:space="0" w:color="auto"/>
              <w:bottom w:val="single" w:sz="4" w:space="0" w:color="auto"/>
            </w:tcBorders>
          </w:tcPr>
          <w:p w14:paraId="2D214E8A" w14:textId="77777777" w:rsidR="00CA6589" w:rsidRPr="00753072" w:rsidRDefault="00CA6589" w:rsidP="000656C9">
            <w:pPr>
              <w:spacing w:line="276" w:lineRule="auto"/>
              <w:rPr>
                <w:rFonts w:asciiTheme="minorHAnsi" w:hAnsiTheme="minorHAnsi"/>
              </w:rPr>
            </w:pPr>
            <w:r w:rsidRPr="00753072">
              <w:rPr>
                <w:rFonts w:asciiTheme="minorHAnsi" w:hAnsiTheme="minorHAnsi"/>
                <w:b/>
              </w:rPr>
              <w:t xml:space="preserve">2030 </w:t>
            </w:r>
            <w:r>
              <w:rPr>
                <w:rFonts w:asciiTheme="minorHAnsi" w:hAnsiTheme="minorHAnsi"/>
                <w:b/>
              </w:rPr>
              <w:t>Mitigation</w:t>
            </w:r>
            <w:r w:rsidRPr="00753072">
              <w:rPr>
                <w:rFonts w:asciiTheme="minorHAnsi" w:hAnsiTheme="minorHAnsi"/>
                <w:b/>
              </w:rPr>
              <w:t xml:space="preserve"> Scenarios</w:t>
            </w:r>
          </w:p>
        </w:tc>
        <w:tc>
          <w:tcPr>
            <w:tcW w:w="1710" w:type="dxa"/>
            <w:tcBorders>
              <w:top w:val="single" w:sz="4" w:space="0" w:color="auto"/>
              <w:bottom w:val="single" w:sz="4" w:space="0" w:color="auto"/>
            </w:tcBorders>
          </w:tcPr>
          <w:p w14:paraId="71CED4E7" w14:textId="77777777" w:rsidR="00CA6589" w:rsidRPr="00753072" w:rsidRDefault="00CA6589" w:rsidP="000656C9">
            <w:pPr>
              <w:spacing w:line="276" w:lineRule="auto"/>
              <w:jc w:val="center"/>
              <w:rPr>
                <w:rFonts w:asciiTheme="minorHAnsi" w:hAnsiTheme="minorHAnsi"/>
              </w:rPr>
            </w:pPr>
          </w:p>
        </w:tc>
        <w:tc>
          <w:tcPr>
            <w:tcW w:w="1862" w:type="dxa"/>
            <w:tcBorders>
              <w:top w:val="single" w:sz="4" w:space="0" w:color="auto"/>
              <w:bottom w:val="single" w:sz="4" w:space="0" w:color="auto"/>
            </w:tcBorders>
          </w:tcPr>
          <w:p w14:paraId="26CA9AC7" w14:textId="77777777" w:rsidR="00CA6589" w:rsidRPr="00753072" w:rsidRDefault="00CA6589" w:rsidP="000656C9">
            <w:pPr>
              <w:spacing w:line="276" w:lineRule="auto"/>
              <w:jc w:val="center"/>
              <w:rPr>
                <w:rFonts w:asciiTheme="minorHAnsi" w:hAnsiTheme="minorHAnsi"/>
              </w:rPr>
            </w:pPr>
          </w:p>
        </w:tc>
        <w:tc>
          <w:tcPr>
            <w:tcW w:w="1669" w:type="dxa"/>
            <w:tcBorders>
              <w:top w:val="single" w:sz="4" w:space="0" w:color="auto"/>
              <w:bottom w:val="single" w:sz="4" w:space="0" w:color="auto"/>
            </w:tcBorders>
          </w:tcPr>
          <w:p w14:paraId="45A09DAF" w14:textId="77777777" w:rsidR="00CA6589" w:rsidRPr="00753072" w:rsidRDefault="00CA6589" w:rsidP="000656C9">
            <w:pPr>
              <w:spacing w:line="276" w:lineRule="auto"/>
              <w:jc w:val="center"/>
              <w:rPr>
                <w:rFonts w:asciiTheme="minorHAnsi" w:hAnsiTheme="minorHAnsi"/>
              </w:rPr>
            </w:pPr>
          </w:p>
        </w:tc>
        <w:tc>
          <w:tcPr>
            <w:tcW w:w="1689" w:type="dxa"/>
            <w:tcBorders>
              <w:top w:val="single" w:sz="4" w:space="0" w:color="auto"/>
              <w:bottom w:val="single" w:sz="4" w:space="0" w:color="auto"/>
            </w:tcBorders>
          </w:tcPr>
          <w:p w14:paraId="3DCE10CD" w14:textId="77777777" w:rsidR="00CA6589" w:rsidRPr="00753072" w:rsidRDefault="00CA6589" w:rsidP="000656C9">
            <w:pPr>
              <w:spacing w:line="276" w:lineRule="auto"/>
              <w:jc w:val="center"/>
              <w:rPr>
                <w:rFonts w:asciiTheme="minorHAnsi" w:hAnsiTheme="minorHAnsi"/>
              </w:rPr>
            </w:pPr>
          </w:p>
        </w:tc>
      </w:tr>
      <w:tr w:rsidR="00CA6589" w:rsidRPr="00753072" w14:paraId="431F8505" w14:textId="77777777" w:rsidTr="00CA6589">
        <w:tc>
          <w:tcPr>
            <w:tcW w:w="2430" w:type="dxa"/>
            <w:tcBorders>
              <w:top w:val="single" w:sz="4" w:space="0" w:color="auto"/>
            </w:tcBorders>
          </w:tcPr>
          <w:p w14:paraId="0817010D" w14:textId="77777777" w:rsidR="00CA6589" w:rsidRPr="0020075D" w:rsidRDefault="00CA6589" w:rsidP="000656C9">
            <w:pPr>
              <w:spacing w:line="276" w:lineRule="auto"/>
              <w:rPr>
                <w:rFonts w:asciiTheme="minorHAnsi" w:hAnsiTheme="minorHAnsi"/>
              </w:rPr>
            </w:pPr>
            <w:r w:rsidRPr="0020075D">
              <w:rPr>
                <w:rFonts w:asciiTheme="minorHAnsi" w:eastAsia="Times New Roman" w:hAnsiTheme="minorHAnsi"/>
              </w:rPr>
              <w:t>CO</w:t>
            </w:r>
            <w:r w:rsidRPr="0020075D">
              <w:rPr>
                <w:rFonts w:asciiTheme="minorHAnsi" w:eastAsia="Times New Roman" w:hAnsiTheme="minorHAnsi"/>
                <w:vertAlign w:val="subscript"/>
              </w:rPr>
              <w:t>2</w:t>
            </w:r>
            <w:r w:rsidRPr="0020075D">
              <w:rPr>
                <w:rFonts w:asciiTheme="minorHAnsi" w:eastAsia="Times New Roman" w:hAnsiTheme="minorHAnsi"/>
              </w:rPr>
              <w:t>-CAP_Existing</w:t>
            </w:r>
          </w:p>
        </w:tc>
        <w:tc>
          <w:tcPr>
            <w:tcW w:w="1710" w:type="dxa"/>
            <w:tcBorders>
              <w:top w:val="single" w:sz="4" w:space="0" w:color="auto"/>
            </w:tcBorders>
            <w:vAlign w:val="center"/>
          </w:tcPr>
          <w:p w14:paraId="75900A3D" w14:textId="77777777" w:rsidR="00CA6589" w:rsidRPr="00753072" w:rsidRDefault="00CA6589" w:rsidP="000656C9">
            <w:pPr>
              <w:spacing w:line="276" w:lineRule="auto"/>
              <w:jc w:val="center"/>
              <w:rPr>
                <w:rFonts w:asciiTheme="minorHAnsi" w:hAnsiTheme="minorHAnsi"/>
              </w:rPr>
            </w:pPr>
            <w:r w:rsidRPr="00753072">
              <w:rPr>
                <w:rFonts w:asciiTheme="minorHAnsi" w:eastAsia="Times New Roman" w:hAnsiTheme="minorHAnsi"/>
                <w:color w:val="000000"/>
              </w:rPr>
              <w:t>20.4</w:t>
            </w:r>
          </w:p>
        </w:tc>
        <w:tc>
          <w:tcPr>
            <w:tcW w:w="1862" w:type="dxa"/>
            <w:tcBorders>
              <w:top w:val="single" w:sz="4" w:space="0" w:color="auto"/>
            </w:tcBorders>
          </w:tcPr>
          <w:p w14:paraId="31E5C10B"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18.1 - 41.1</w:t>
            </w:r>
          </w:p>
        </w:tc>
        <w:tc>
          <w:tcPr>
            <w:tcW w:w="1669" w:type="dxa"/>
            <w:tcBorders>
              <w:top w:val="single" w:sz="4" w:space="0" w:color="auto"/>
            </w:tcBorders>
          </w:tcPr>
          <w:p w14:paraId="562B98A3"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4.7 – 14.9</w:t>
            </w:r>
          </w:p>
        </w:tc>
        <w:tc>
          <w:tcPr>
            <w:tcW w:w="1689" w:type="dxa"/>
            <w:tcBorders>
              <w:top w:val="single" w:sz="4" w:space="0" w:color="auto"/>
            </w:tcBorders>
          </w:tcPr>
          <w:p w14:paraId="618B96A8"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 xml:space="preserve"> 43.2 – 76.5</w:t>
            </w:r>
          </w:p>
        </w:tc>
      </w:tr>
      <w:tr w:rsidR="00CA6589" w:rsidRPr="00753072" w14:paraId="07E0B256" w14:textId="77777777" w:rsidTr="00CA6589">
        <w:trPr>
          <w:trHeight w:val="315"/>
        </w:trPr>
        <w:tc>
          <w:tcPr>
            <w:tcW w:w="2430" w:type="dxa"/>
            <w:tcBorders>
              <w:bottom w:val="single" w:sz="4" w:space="0" w:color="auto"/>
            </w:tcBorders>
          </w:tcPr>
          <w:p w14:paraId="2B3EF06D" w14:textId="77777777" w:rsidR="00CA6589" w:rsidRPr="0020075D" w:rsidRDefault="00CA6589" w:rsidP="000656C9">
            <w:pPr>
              <w:spacing w:line="276" w:lineRule="auto"/>
              <w:rPr>
                <w:rFonts w:asciiTheme="minorHAnsi" w:hAnsiTheme="minorHAnsi"/>
              </w:rPr>
            </w:pPr>
            <w:r w:rsidRPr="0020075D">
              <w:rPr>
                <w:rFonts w:asciiTheme="minorHAnsi" w:eastAsia="Times New Roman" w:hAnsiTheme="minorHAnsi"/>
              </w:rPr>
              <w:t>CO</w:t>
            </w:r>
            <w:r w:rsidRPr="0020075D">
              <w:rPr>
                <w:rFonts w:asciiTheme="minorHAnsi" w:eastAsia="Times New Roman" w:hAnsiTheme="minorHAnsi"/>
                <w:vertAlign w:val="subscript"/>
              </w:rPr>
              <w:t>2</w:t>
            </w:r>
            <w:r w:rsidRPr="0020075D">
              <w:rPr>
                <w:rFonts w:asciiTheme="minorHAnsi" w:eastAsia="Times New Roman" w:hAnsiTheme="minorHAnsi"/>
              </w:rPr>
              <w:t>-CAP_Existing+EE</w:t>
            </w:r>
          </w:p>
        </w:tc>
        <w:tc>
          <w:tcPr>
            <w:tcW w:w="1710" w:type="dxa"/>
            <w:tcBorders>
              <w:bottom w:val="single" w:sz="4" w:space="0" w:color="auto"/>
            </w:tcBorders>
            <w:vAlign w:val="center"/>
          </w:tcPr>
          <w:p w14:paraId="289A56BF" w14:textId="77777777" w:rsidR="00CA6589" w:rsidRPr="00753072" w:rsidRDefault="00CA6589" w:rsidP="000656C9">
            <w:pPr>
              <w:spacing w:line="276" w:lineRule="auto"/>
              <w:jc w:val="center"/>
              <w:rPr>
                <w:rFonts w:asciiTheme="minorHAnsi" w:hAnsiTheme="minorHAnsi"/>
              </w:rPr>
            </w:pPr>
            <w:r w:rsidRPr="00753072">
              <w:rPr>
                <w:rFonts w:asciiTheme="minorHAnsi" w:eastAsia="Times New Roman" w:hAnsiTheme="minorHAnsi"/>
                <w:color w:val="000000"/>
              </w:rPr>
              <w:t>24.9</w:t>
            </w:r>
          </w:p>
        </w:tc>
        <w:tc>
          <w:tcPr>
            <w:tcW w:w="1862" w:type="dxa"/>
            <w:tcBorders>
              <w:bottom w:val="single" w:sz="4" w:space="0" w:color="auto"/>
            </w:tcBorders>
          </w:tcPr>
          <w:p w14:paraId="43FEAC5C"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18.6 - 42.3</w:t>
            </w:r>
          </w:p>
        </w:tc>
        <w:tc>
          <w:tcPr>
            <w:tcW w:w="1669" w:type="dxa"/>
            <w:tcBorders>
              <w:bottom w:val="single" w:sz="4" w:space="0" w:color="auto"/>
            </w:tcBorders>
          </w:tcPr>
          <w:p w14:paraId="1C27307F"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5.2 – 16.4</w:t>
            </w:r>
          </w:p>
        </w:tc>
        <w:tc>
          <w:tcPr>
            <w:tcW w:w="1689" w:type="dxa"/>
            <w:tcBorders>
              <w:bottom w:val="single" w:sz="4" w:space="0" w:color="auto"/>
            </w:tcBorders>
          </w:tcPr>
          <w:p w14:paraId="267C4145"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48.7 – 83.6</w:t>
            </w:r>
          </w:p>
        </w:tc>
      </w:tr>
      <w:tr w:rsidR="00CA6589" w:rsidRPr="00753072" w14:paraId="03CA4B03" w14:textId="77777777" w:rsidTr="00CA6589">
        <w:tc>
          <w:tcPr>
            <w:tcW w:w="2430" w:type="dxa"/>
            <w:tcBorders>
              <w:top w:val="single" w:sz="4" w:space="0" w:color="auto"/>
            </w:tcBorders>
            <w:vAlign w:val="bottom"/>
          </w:tcPr>
          <w:p w14:paraId="52263E8B" w14:textId="77777777" w:rsidR="00CA6589" w:rsidRPr="0020075D" w:rsidRDefault="00CA6589" w:rsidP="000656C9">
            <w:pPr>
              <w:spacing w:line="276" w:lineRule="auto"/>
              <w:rPr>
                <w:rFonts w:asciiTheme="minorHAnsi" w:hAnsiTheme="minorHAnsi"/>
              </w:rPr>
            </w:pPr>
            <w:r w:rsidRPr="0020075D">
              <w:rPr>
                <w:rFonts w:asciiTheme="minorHAnsi" w:eastAsia="Times New Roman" w:hAnsiTheme="minorHAnsi"/>
              </w:rPr>
              <w:t>CO</w:t>
            </w:r>
            <w:r w:rsidRPr="0020075D">
              <w:rPr>
                <w:rFonts w:asciiTheme="minorHAnsi" w:eastAsia="Times New Roman" w:hAnsiTheme="minorHAnsi"/>
                <w:vertAlign w:val="subscript"/>
              </w:rPr>
              <w:t>2</w:t>
            </w:r>
            <w:r w:rsidRPr="0020075D">
              <w:rPr>
                <w:rFonts w:asciiTheme="minorHAnsi" w:eastAsia="Times New Roman" w:hAnsiTheme="minorHAnsi"/>
              </w:rPr>
              <w:t>-CAP</w:t>
            </w:r>
            <w:r w:rsidRPr="0020075D">
              <w:rPr>
                <w:rFonts w:asciiTheme="minorHAnsi" w:hAnsiTheme="minorHAnsi"/>
              </w:rPr>
              <w:t>_All</w:t>
            </w:r>
          </w:p>
        </w:tc>
        <w:tc>
          <w:tcPr>
            <w:tcW w:w="1710" w:type="dxa"/>
            <w:tcBorders>
              <w:top w:val="single" w:sz="4" w:space="0" w:color="auto"/>
            </w:tcBorders>
            <w:vAlign w:val="center"/>
          </w:tcPr>
          <w:p w14:paraId="203A4845" w14:textId="77777777" w:rsidR="00CA6589" w:rsidRPr="00753072" w:rsidRDefault="00CA6589" w:rsidP="000656C9">
            <w:pPr>
              <w:spacing w:line="276" w:lineRule="auto"/>
              <w:jc w:val="center"/>
              <w:rPr>
                <w:rFonts w:asciiTheme="minorHAnsi" w:hAnsiTheme="minorHAnsi"/>
              </w:rPr>
            </w:pPr>
            <w:r w:rsidRPr="00753072">
              <w:rPr>
                <w:rFonts w:asciiTheme="minorHAnsi" w:eastAsia="Times New Roman" w:hAnsiTheme="minorHAnsi"/>
                <w:color w:val="000000"/>
              </w:rPr>
              <w:t>27.4</w:t>
            </w:r>
          </w:p>
        </w:tc>
        <w:tc>
          <w:tcPr>
            <w:tcW w:w="1862" w:type="dxa"/>
            <w:tcBorders>
              <w:top w:val="single" w:sz="4" w:space="0" w:color="auto"/>
            </w:tcBorders>
          </w:tcPr>
          <w:p w14:paraId="76F33683"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23.6 - 53.6</w:t>
            </w:r>
          </w:p>
        </w:tc>
        <w:tc>
          <w:tcPr>
            <w:tcW w:w="1669" w:type="dxa"/>
            <w:tcBorders>
              <w:top w:val="single" w:sz="4" w:space="0" w:color="auto"/>
            </w:tcBorders>
          </w:tcPr>
          <w:p w14:paraId="6B7F2950"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5.9 – 18.8</w:t>
            </w:r>
          </w:p>
        </w:tc>
        <w:tc>
          <w:tcPr>
            <w:tcW w:w="1689" w:type="dxa"/>
            <w:tcBorders>
              <w:top w:val="single" w:sz="4" w:space="0" w:color="auto"/>
            </w:tcBorders>
          </w:tcPr>
          <w:p w14:paraId="0860C74B"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 xml:space="preserve"> 56.9 – 99.8</w:t>
            </w:r>
          </w:p>
        </w:tc>
      </w:tr>
      <w:tr w:rsidR="00CA6589" w:rsidRPr="00753072" w14:paraId="21360900" w14:textId="77777777" w:rsidTr="00CA6589">
        <w:tc>
          <w:tcPr>
            <w:tcW w:w="2430" w:type="dxa"/>
            <w:tcBorders>
              <w:bottom w:val="single" w:sz="4" w:space="0" w:color="auto"/>
            </w:tcBorders>
            <w:vAlign w:val="bottom"/>
          </w:tcPr>
          <w:p w14:paraId="02AC5F80" w14:textId="77777777" w:rsidR="00CA6589" w:rsidRPr="0020075D" w:rsidRDefault="00CA6589" w:rsidP="000656C9">
            <w:pPr>
              <w:spacing w:line="276" w:lineRule="auto"/>
              <w:rPr>
                <w:rFonts w:asciiTheme="minorHAnsi" w:hAnsiTheme="minorHAnsi"/>
              </w:rPr>
            </w:pPr>
            <w:r w:rsidRPr="0020075D">
              <w:rPr>
                <w:rFonts w:asciiTheme="minorHAnsi" w:eastAsia="Times New Roman" w:hAnsiTheme="minorHAnsi"/>
              </w:rPr>
              <w:t>CO</w:t>
            </w:r>
            <w:r w:rsidRPr="0020075D">
              <w:rPr>
                <w:rFonts w:asciiTheme="minorHAnsi" w:eastAsia="Times New Roman" w:hAnsiTheme="minorHAnsi"/>
                <w:vertAlign w:val="subscript"/>
              </w:rPr>
              <w:t>2</w:t>
            </w:r>
            <w:r w:rsidRPr="0020075D">
              <w:rPr>
                <w:rFonts w:asciiTheme="minorHAnsi" w:eastAsia="Times New Roman" w:hAnsiTheme="minorHAnsi"/>
              </w:rPr>
              <w:t>-CAP</w:t>
            </w:r>
            <w:r w:rsidRPr="0020075D">
              <w:rPr>
                <w:rFonts w:asciiTheme="minorHAnsi" w:hAnsiTheme="minorHAnsi"/>
              </w:rPr>
              <w:t>_All+EE</w:t>
            </w:r>
          </w:p>
        </w:tc>
        <w:tc>
          <w:tcPr>
            <w:tcW w:w="1710" w:type="dxa"/>
            <w:tcBorders>
              <w:bottom w:val="single" w:sz="4" w:space="0" w:color="auto"/>
            </w:tcBorders>
            <w:vAlign w:val="center"/>
          </w:tcPr>
          <w:p w14:paraId="29D867D3" w14:textId="77777777" w:rsidR="00CA6589" w:rsidRPr="00753072" w:rsidRDefault="00CA6589" w:rsidP="000656C9">
            <w:pPr>
              <w:spacing w:line="276" w:lineRule="auto"/>
              <w:jc w:val="center"/>
              <w:rPr>
                <w:rFonts w:asciiTheme="minorHAnsi" w:hAnsiTheme="minorHAnsi"/>
              </w:rPr>
            </w:pPr>
            <w:r w:rsidRPr="00753072">
              <w:rPr>
                <w:rFonts w:asciiTheme="minorHAnsi" w:eastAsia="Times New Roman" w:hAnsiTheme="minorHAnsi"/>
                <w:color w:val="000000"/>
              </w:rPr>
              <w:t>28.6</w:t>
            </w:r>
          </w:p>
        </w:tc>
        <w:tc>
          <w:tcPr>
            <w:tcW w:w="1862" w:type="dxa"/>
            <w:tcBorders>
              <w:bottom w:val="single" w:sz="4" w:space="0" w:color="auto"/>
            </w:tcBorders>
          </w:tcPr>
          <w:p w14:paraId="6E13D794"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21.8 - 49.6</w:t>
            </w:r>
          </w:p>
        </w:tc>
        <w:tc>
          <w:tcPr>
            <w:tcW w:w="1669" w:type="dxa"/>
            <w:tcBorders>
              <w:bottom w:val="single" w:sz="4" w:space="0" w:color="auto"/>
            </w:tcBorders>
          </w:tcPr>
          <w:p w14:paraId="0A423604"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5.7 – 17.9</w:t>
            </w:r>
          </w:p>
        </w:tc>
        <w:tc>
          <w:tcPr>
            <w:tcW w:w="1689" w:type="dxa"/>
            <w:tcBorders>
              <w:bottom w:val="single" w:sz="4" w:space="0" w:color="auto"/>
            </w:tcBorders>
          </w:tcPr>
          <w:p w14:paraId="291EE4A3" w14:textId="77777777" w:rsidR="00CA6589" w:rsidRPr="00753072" w:rsidRDefault="00CA6589" w:rsidP="000656C9">
            <w:pPr>
              <w:spacing w:line="276" w:lineRule="auto"/>
              <w:jc w:val="center"/>
              <w:rPr>
                <w:rFonts w:asciiTheme="minorHAnsi" w:hAnsiTheme="minorHAnsi"/>
              </w:rPr>
            </w:pPr>
            <w:r w:rsidRPr="00753072">
              <w:rPr>
                <w:rFonts w:asciiTheme="minorHAnsi" w:hAnsiTheme="minorHAnsi"/>
              </w:rPr>
              <w:t>56.1 – 96.1</w:t>
            </w:r>
          </w:p>
        </w:tc>
      </w:tr>
    </w:tbl>
    <w:p w14:paraId="3103F8ED" w14:textId="77777777" w:rsidR="00CA6589" w:rsidRPr="00753072" w:rsidRDefault="00CA6589" w:rsidP="000656C9">
      <w:pPr>
        <w:spacing w:line="276" w:lineRule="auto"/>
        <w:rPr>
          <w:rFonts w:asciiTheme="minorHAnsi" w:hAnsiTheme="minorHAnsi"/>
        </w:rPr>
      </w:pPr>
      <w:proofErr w:type="spellStart"/>
      <w:proofErr w:type="gramStart"/>
      <w:r w:rsidRPr="000978F8">
        <w:rPr>
          <w:rFonts w:asciiTheme="minorHAnsi" w:hAnsiTheme="minorHAnsi"/>
          <w:vertAlign w:val="superscript"/>
        </w:rPr>
        <w:t>a</w:t>
      </w:r>
      <w:proofErr w:type="spellEnd"/>
      <w:proofErr w:type="gramEnd"/>
      <w:r>
        <w:rPr>
          <w:rFonts w:asciiTheme="minorHAnsi" w:hAnsiTheme="minorHAnsi"/>
          <w:vertAlign w:val="superscript"/>
        </w:rPr>
        <w:t xml:space="preserve"> </w:t>
      </w:r>
      <w:r w:rsidRPr="00753072">
        <w:rPr>
          <w:rFonts w:asciiTheme="minorHAnsi" w:hAnsiTheme="minorHAnsi"/>
        </w:rPr>
        <w:t>The benefits from reducing non-CO</w:t>
      </w:r>
      <w:r w:rsidRPr="00753072">
        <w:rPr>
          <w:rFonts w:asciiTheme="minorHAnsi" w:hAnsiTheme="minorHAnsi"/>
          <w:vertAlign w:val="subscript"/>
        </w:rPr>
        <w:t>2</w:t>
      </w:r>
      <w:r w:rsidRPr="00753072">
        <w:rPr>
          <w:rFonts w:asciiTheme="minorHAnsi" w:hAnsiTheme="minorHAnsi"/>
        </w:rPr>
        <w:t xml:space="preserve"> pollutants are estimated as ranges because EPA provides a range of co-benefit multipliers through which to estimate them.</w:t>
      </w:r>
    </w:p>
    <w:p w14:paraId="3D2E5438" w14:textId="77777777" w:rsidR="00CA6589" w:rsidRPr="00CA6589" w:rsidRDefault="00CA6589" w:rsidP="000656C9">
      <w:pPr>
        <w:pStyle w:val="TablesandFigures"/>
        <w:spacing w:line="276" w:lineRule="auto"/>
        <w:jc w:val="center"/>
        <w:rPr>
          <w:rFonts w:ascii="Calibri" w:hAnsi="Calibri" w:cs="Times New Roman"/>
          <w:b w:val="0"/>
          <w:color w:val="auto"/>
          <w:sz w:val="24"/>
          <w:szCs w:val="24"/>
        </w:rPr>
      </w:pPr>
    </w:p>
    <w:p w14:paraId="76D423EA" w14:textId="45A74EC9" w:rsidR="00CF4407" w:rsidRPr="00C40B08" w:rsidRDefault="00EF4CA0" w:rsidP="000656C9">
      <w:pPr>
        <w:spacing w:before="100" w:beforeAutospacing="1" w:after="100" w:afterAutospacing="1" w:line="276" w:lineRule="auto"/>
        <w:rPr>
          <w:rFonts w:ascii="Calibri" w:eastAsia="Times New Roman" w:hAnsi="Calibri"/>
        </w:rPr>
      </w:pPr>
      <w:r w:rsidRPr="00C40B08">
        <w:rPr>
          <w:rFonts w:ascii="Calibri" w:hAnsi="Calibri"/>
        </w:rPr>
        <w:t>Our analysis indicates that policies for leakage can strongly influence the impact of energy efficiency on non-CO</w:t>
      </w:r>
      <w:r w:rsidRPr="00C40B08">
        <w:rPr>
          <w:rFonts w:ascii="Calibri" w:hAnsi="Calibri"/>
          <w:vertAlign w:val="subscript"/>
        </w:rPr>
        <w:t xml:space="preserve">2 </w:t>
      </w:r>
      <w:r w:rsidRPr="00C40B08">
        <w:rPr>
          <w:rFonts w:ascii="Calibri" w:hAnsi="Calibri"/>
        </w:rPr>
        <w:t>pollutants. Specifically</w:t>
      </w:r>
      <w:r w:rsidR="00DB67BB" w:rsidRPr="00C40B08">
        <w:rPr>
          <w:rFonts w:ascii="Calibri" w:hAnsi="Calibri"/>
        </w:rPr>
        <w:t>, the addition of strong energy</w:t>
      </w:r>
      <w:r w:rsidR="004A56B6" w:rsidRPr="00C40B08">
        <w:rPr>
          <w:rFonts w:ascii="Calibri" w:hAnsi="Calibri"/>
        </w:rPr>
        <w:t xml:space="preserve">-efficiency policies to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004A56B6" w:rsidRPr="00C40B08">
        <w:rPr>
          <w:rFonts w:ascii="Calibri" w:hAnsi="Calibri"/>
        </w:rPr>
        <w:t>-</w:t>
      </w:r>
      <w:r w:rsidR="00DB67BB" w:rsidRPr="00C40B08">
        <w:rPr>
          <w:rFonts w:ascii="Calibri" w:hAnsi="Calibri"/>
        </w:rPr>
        <w:t>All scenario, reduces these collateral benefits, while it increases the</w:t>
      </w:r>
      <w:r w:rsidR="004A56B6" w:rsidRPr="00C40B08">
        <w:rPr>
          <w:rFonts w:ascii="Calibri" w:hAnsi="Calibri"/>
        </w:rPr>
        <w:t xml:space="preserve"> collateral benefits 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004A56B6" w:rsidRPr="00C40B08">
        <w:rPr>
          <w:rFonts w:ascii="Calibri" w:hAnsi="Calibri"/>
        </w:rPr>
        <w:t>-</w:t>
      </w:r>
      <w:r w:rsidR="00DB67BB" w:rsidRPr="00C40B08">
        <w:rPr>
          <w:rFonts w:ascii="Calibri" w:hAnsi="Calibri"/>
        </w:rPr>
        <w:t>Existing scenario.</w:t>
      </w:r>
      <w:r w:rsidR="004A56B6" w:rsidRPr="00C40B08">
        <w:rPr>
          <w:rFonts w:ascii="Calibri" w:hAnsi="Calibri"/>
        </w:rPr>
        <w:t xml:space="preserve"> C</w:t>
      </w:r>
      <w:r w:rsidR="00CF4407" w:rsidRPr="00C40B08">
        <w:rPr>
          <w:rFonts w:ascii="Calibri" w:eastAsia="Times New Roman" w:hAnsi="Calibri"/>
          <w:color w:val="212121"/>
          <w:shd w:val="clear" w:color="auto" w:fill="FFFFFF"/>
        </w:rPr>
        <w:t xml:space="preserve">oal capacity </w:t>
      </w:r>
      <w:r w:rsidR="00260568" w:rsidRPr="00C40B08">
        <w:rPr>
          <w:rFonts w:ascii="Calibri" w:eastAsia="Times New Roman" w:hAnsi="Calibri"/>
          <w:color w:val="212121"/>
          <w:shd w:val="clear" w:color="auto" w:fill="FFFFFF"/>
        </w:rPr>
        <w:t>is not</w:t>
      </w:r>
      <w:r w:rsidR="00CF4407" w:rsidRPr="00C40B08">
        <w:rPr>
          <w:rFonts w:ascii="Calibri" w:eastAsia="Times New Roman" w:hAnsi="Calibri"/>
          <w:color w:val="212121"/>
          <w:shd w:val="clear" w:color="auto" w:fill="FFFFFF"/>
        </w:rPr>
        <w:t xml:space="preserve"> reduced</w:t>
      </w:r>
      <w:r w:rsidR="00260568" w:rsidRPr="00C40B08">
        <w:rPr>
          <w:rFonts w:ascii="Calibri" w:eastAsia="Times New Roman" w:hAnsi="Calibri"/>
          <w:color w:val="212121"/>
          <w:shd w:val="clear" w:color="auto" w:fill="FFFFFF"/>
        </w:rPr>
        <w:t xml:space="preserve"> as much</w:t>
      </w:r>
      <w:r w:rsidR="00CF4407" w:rsidRPr="00C40B08">
        <w:rPr>
          <w:rFonts w:ascii="Calibri" w:eastAsia="Times New Roman" w:hAnsi="Calibri"/>
          <w:color w:val="212121"/>
          <w:shd w:val="clear" w:color="auto" w:fill="FFFFFF"/>
        </w:rPr>
        <w:t xml:space="preserve"> </w:t>
      </w:r>
      <w:r w:rsidR="00DB67BB" w:rsidRPr="00C40B08">
        <w:rPr>
          <w:rFonts w:ascii="Calibri" w:eastAsia="Times New Roman" w:hAnsi="Calibri"/>
          <w:color w:val="212121"/>
          <w:shd w:val="clear" w:color="auto" w:fill="FFFFFF"/>
        </w:rPr>
        <w:t>when</w:t>
      </w:r>
      <w:r w:rsidR="00CF4407" w:rsidRPr="00C40B08">
        <w:rPr>
          <w:rFonts w:ascii="Calibri" w:eastAsia="Times New Roman" w:hAnsi="Calibri"/>
          <w:color w:val="212121"/>
          <w:shd w:val="clear" w:color="auto" w:fill="FFFFFF"/>
        </w:rPr>
        <w:t xml:space="preserve"> </w:t>
      </w:r>
      <w:r w:rsidR="004A56B6" w:rsidRPr="00C40B08">
        <w:rPr>
          <w:rFonts w:ascii="Calibri" w:eastAsia="Times New Roman" w:hAnsi="Calibri"/>
          <w:color w:val="212121"/>
          <w:shd w:val="clear" w:color="auto" w:fill="FFFFFF"/>
        </w:rPr>
        <w:t>energy efficiency</w:t>
      </w:r>
      <w:r w:rsidR="00CF4407" w:rsidRPr="00C40B08">
        <w:rPr>
          <w:rFonts w:ascii="Calibri" w:eastAsia="Times New Roman" w:hAnsi="Calibri"/>
          <w:color w:val="212121"/>
          <w:shd w:val="clear" w:color="auto" w:fill="FFFFFF"/>
        </w:rPr>
        <w:t xml:space="preserve"> </w:t>
      </w:r>
      <w:r w:rsidR="00DB67BB" w:rsidRPr="00C40B08">
        <w:rPr>
          <w:rFonts w:ascii="Calibri" w:eastAsia="Times New Roman" w:hAnsi="Calibri"/>
          <w:color w:val="212121"/>
          <w:shd w:val="clear" w:color="auto" w:fill="FFFFFF"/>
        </w:rPr>
        <w:t>is added to the</w:t>
      </w:r>
      <w:r w:rsidR="004A56B6" w:rsidRPr="00C40B08">
        <w:rPr>
          <w:rFonts w:ascii="Calibri" w:eastAsia="Times New Roman" w:hAnsi="Calibri"/>
          <w:color w:val="212121"/>
          <w:shd w:val="clear" w:color="auto" w:fill="FFFFFF"/>
        </w:rPr>
        <w:t xml:space="preserv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004A56B6" w:rsidRPr="00C40B08">
        <w:rPr>
          <w:rFonts w:ascii="Calibri" w:eastAsia="Times New Roman" w:hAnsi="Calibri"/>
          <w:color w:val="212121"/>
          <w:shd w:val="clear" w:color="auto" w:fill="FFFFFF"/>
        </w:rPr>
        <w:t>-</w:t>
      </w:r>
      <w:r w:rsidR="00CF4407" w:rsidRPr="00C40B08">
        <w:rPr>
          <w:rFonts w:ascii="Calibri" w:eastAsia="Times New Roman" w:hAnsi="Calibri"/>
          <w:color w:val="212121"/>
          <w:shd w:val="clear" w:color="auto" w:fill="FFFFFF"/>
        </w:rPr>
        <w:t xml:space="preserve">All </w:t>
      </w:r>
      <w:r w:rsidR="00DB67BB" w:rsidRPr="00C40B08">
        <w:rPr>
          <w:rFonts w:ascii="Calibri" w:eastAsia="Times New Roman" w:hAnsi="Calibri"/>
          <w:color w:val="212121"/>
          <w:shd w:val="clear" w:color="auto" w:fill="FFFFFF"/>
        </w:rPr>
        <w:t>case</w:t>
      </w:r>
      <w:r w:rsidR="004A56B6" w:rsidRPr="00C40B08">
        <w:rPr>
          <w:rFonts w:ascii="Calibri" w:eastAsia="Times New Roman" w:hAnsi="Calibri"/>
          <w:color w:val="212121"/>
          <w:shd w:val="clear" w:color="auto" w:fill="FFFFFF"/>
        </w:rPr>
        <w:t xml:space="preserve">, and </w:t>
      </w:r>
      <w:r w:rsidR="00DB67BB" w:rsidRPr="00C40B08">
        <w:rPr>
          <w:rFonts w:ascii="Calibri" w:eastAsia="Times New Roman" w:hAnsi="Calibri"/>
          <w:color w:val="212121"/>
          <w:shd w:val="clear" w:color="auto" w:fill="FFFFFF"/>
        </w:rPr>
        <w:t>c</w:t>
      </w:r>
      <w:r w:rsidR="00CF4407" w:rsidRPr="00C40B08">
        <w:rPr>
          <w:rFonts w:ascii="Calibri" w:eastAsia="Times New Roman" w:hAnsi="Calibri"/>
          <w:color w:val="212121"/>
          <w:shd w:val="clear" w:color="auto" w:fill="FFFFFF"/>
        </w:rPr>
        <w:t xml:space="preserve">oal generation </w:t>
      </w:r>
      <w:r w:rsidR="00763002" w:rsidRPr="00C40B08">
        <w:rPr>
          <w:rFonts w:ascii="Calibri" w:eastAsia="Times New Roman" w:hAnsi="Calibri"/>
          <w:color w:val="212121"/>
          <w:shd w:val="clear" w:color="auto" w:fill="FFFFFF"/>
        </w:rPr>
        <w:t>is forecast to be greater</w:t>
      </w:r>
      <w:r w:rsidR="00CF4407" w:rsidRPr="00C40B08">
        <w:rPr>
          <w:rFonts w:ascii="Calibri" w:eastAsia="Times New Roman" w:hAnsi="Calibri"/>
          <w:color w:val="212121"/>
          <w:shd w:val="clear" w:color="auto" w:fill="FFFFFF"/>
        </w:rPr>
        <w:t xml:space="preserve"> in th</w:t>
      </w:r>
      <w:r w:rsidR="004A56B6" w:rsidRPr="00C40B08">
        <w:rPr>
          <w:rFonts w:ascii="Calibri" w:eastAsia="Times New Roman" w:hAnsi="Calibri"/>
          <w:color w:val="212121"/>
          <w:shd w:val="clear" w:color="auto" w:fill="FFFFFF"/>
        </w:rPr>
        <w:t xml:space="preserve">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004A56B6" w:rsidRPr="00C40B08">
        <w:rPr>
          <w:rFonts w:ascii="Calibri" w:eastAsia="Times New Roman" w:hAnsi="Calibri"/>
          <w:color w:val="212121"/>
          <w:shd w:val="clear" w:color="auto" w:fill="FFFFFF"/>
        </w:rPr>
        <w:t>-</w:t>
      </w:r>
      <w:r w:rsidR="00CF4407" w:rsidRPr="00C40B08">
        <w:rPr>
          <w:rFonts w:ascii="Calibri" w:eastAsia="Times New Roman" w:hAnsi="Calibri"/>
          <w:color w:val="212121"/>
          <w:shd w:val="clear" w:color="auto" w:fill="FFFFFF"/>
        </w:rPr>
        <w:t xml:space="preserve">All+EE case, compared to </w:t>
      </w:r>
      <w:r w:rsidR="00A10DA0" w:rsidRPr="00C40B08">
        <w:rPr>
          <w:rFonts w:ascii="Calibri" w:hAnsi="Calibri"/>
        </w:rPr>
        <w:t>CO</w:t>
      </w:r>
      <w:r w:rsidR="00A10DA0" w:rsidRPr="00C40B08">
        <w:rPr>
          <w:rFonts w:ascii="Calibri" w:hAnsi="Calibri"/>
          <w:vertAlign w:val="subscript"/>
        </w:rPr>
        <w:t>2</w:t>
      </w:r>
      <w:r w:rsidR="00A10DA0" w:rsidRPr="00C40B08">
        <w:rPr>
          <w:rFonts w:ascii="Calibri" w:hAnsi="Calibri"/>
        </w:rPr>
        <w:t>-Cap</w:t>
      </w:r>
      <w:r w:rsidR="004A56B6" w:rsidRPr="00C40B08">
        <w:rPr>
          <w:rFonts w:ascii="Calibri" w:eastAsia="Times New Roman" w:hAnsi="Calibri"/>
          <w:color w:val="212121"/>
          <w:shd w:val="clear" w:color="auto" w:fill="FFFFFF"/>
        </w:rPr>
        <w:t>-</w:t>
      </w:r>
      <w:r w:rsidR="00CF4407" w:rsidRPr="00C40B08">
        <w:rPr>
          <w:rFonts w:ascii="Calibri" w:eastAsia="Times New Roman" w:hAnsi="Calibri"/>
          <w:color w:val="212121"/>
          <w:shd w:val="clear" w:color="auto" w:fill="FFFFFF"/>
        </w:rPr>
        <w:t xml:space="preserve">All. </w:t>
      </w:r>
      <w:r w:rsidR="00763002" w:rsidRPr="00C40B08">
        <w:rPr>
          <w:rFonts w:ascii="Calibri" w:eastAsia="Times New Roman" w:hAnsi="Calibri"/>
        </w:rPr>
        <w:t>This same finding was noted in BPC (2016), where p</w:t>
      </w:r>
      <w:r w:rsidR="00F52DE2" w:rsidRPr="00C40B08">
        <w:rPr>
          <w:rFonts w:ascii="Calibri" w:eastAsia="Times New Roman" w:hAnsi="Calibri"/>
        </w:rPr>
        <w:t>olicy scenarios with demand and supply side efficiency options allow more coal generation and, as a result, do not build as much new NGCC or</w:t>
      </w:r>
      <w:r w:rsidR="00DB67BB" w:rsidRPr="00C40B08">
        <w:rPr>
          <w:rFonts w:ascii="Calibri" w:eastAsia="Times New Roman" w:hAnsi="Calibri"/>
        </w:rPr>
        <w:t xml:space="preserve"> renewable generation</w:t>
      </w:r>
      <w:r w:rsidR="00F52DE2" w:rsidRPr="00C40B08">
        <w:rPr>
          <w:rFonts w:ascii="Calibri" w:eastAsia="Times New Roman" w:hAnsi="Calibri"/>
        </w:rPr>
        <w:t>.</w:t>
      </w:r>
    </w:p>
    <w:p w14:paraId="5750D9A2" w14:textId="4B969FE3" w:rsidR="000134BD" w:rsidRPr="00C40B08" w:rsidRDefault="000134BD" w:rsidP="000656C9">
      <w:pPr>
        <w:spacing w:before="100" w:beforeAutospacing="1" w:after="100" w:afterAutospacing="1" w:line="276" w:lineRule="auto"/>
        <w:rPr>
          <w:rFonts w:ascii="Calibri" w:hAnsi="Calibri"/>
        </w:rPr>
      </w:pPr>
      <w:r w:rsidRPr="00C40B08">
        <w:rPr>
          <w:rFonts w:ascii="Calibri" w:hAnsi="Calibri"/>
        </w:rPr>
        <w:t xml:space="preserve">This is further revealed in Figure </w:t>
      </w:r>
      <w:r w:rsidR="00C31BAA" w:rsidRPr="00C40B08">
        <w:rPr>
          <w:rFonts w:ascii="Calibri" w:hAnsi="Calibri"/>
        </w:rPr>
        <w:t>6</w:t>
      </w:r>
      <w:r w:rsidR="00B3326D" w:rsidRPr="00C40B08">
        <w:rPr>
          <w:rFonts w:ascii="Calibri" w:hAnsi="Calibri"/>
        </w:rPr>
        <w:t>.</w:t>
      </w:r>
      <w:r w:rsidR="00F54FED" w:rsidRPr="00C40B08">
        <w:rPr>
          <w:rFonts w:ascii="Calibri" w:hAnsi="Calibri"/>
        </w:rPr>
        <w:t xml:space="preserve"> </w:t>
      </w:r>
      <w:r w:rsidRPr="00C40B08">
        <w:rPr>
          <w:rFonts w:ascii="Calibri" w:hAnsi="Calibri"/>
        </w:rPr>
        <w:t xml:space="preserve">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-All+EE scenario, natural gas grows more slowly, reaching approximately 1,315 billion kWh in 2030, compared with 1,468 billion kWh in the </w:t>
      </w:r>
      <w:r w:rsidR="00A10DA0" w:rsidRPr="00C40B08">
        <w:rPr>
          <w:rFonts w:ascii="Calibri" w:hAnsi="Calibri"/>
        </w:rPr>
        <w:t>CO</w:t>
      </w:r>
      <w:r w:rsidR="00A10DA0" w:rsidRPr="00C40B08">
        <w:rPr>
          <w:rFonts w:ascii="Calibri" w:hAnsi="Calibri"/>
          <w:vertAlign w:val="subscript"/>
        </w:rPr>
        <w:t>2</w:t>
      </w:r>
      <w:r w:rsidR="00A10DA0" w:rsidRPr="00C40B08">
        <w:rPr>
          <w:rFonts w:ascii="Calibri" w:hAnsi="Calibri"/>
        </w:rPr>
        <w:t>-Cap</w:t>
      </w:r>
      <w:r w:rsidRPr="00C40B08">
        <w:rPr>
          <w:rFonts w:ascii="Calibri" w:hAnsi="Calibri"/>
        </w:rPr>
        <w:t xml:space="preserve">-All case. The same is true of wind and solar, which grow to only 362 billion kWh and 88 billion kWh in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-All-EE, while they reach 502 billion kWh and 118 billion kWh in </w:t>
      </w:r>
      <w:r w:rsidR="00A10DA0" w:rsidRPr="00C40B08">
        <w:rPr>
          <w:rFonts w:ascii="Calibri" w:hAnsi="Calibri"/>
        </w:rPr>
        <w:t>CO</w:t>
      </w:r>
      <w:r w:rsidR="00A10DA0" w:rsidRPr="00C40B08">
        <w:rPr>
          <w:rFonts w:ascii="Calibri" w:hAnsi="Calibri"/>
          <w:vertAlign w:val="subscript"/>
        </w:rPr>
        <w:t>2</w:t>
      </w:r>
      <w:r w:rsidR="00A10DA0" w:rsidRPr="00C40B08">
        <w:rPr>
          <w:rFonts w:ascii="Calibri" w:hAnsi="Calibri"/>
        </w:rPr>
        <w:t>-Cap</w:t>
      </w:r>
      <w:r w:rsidRPr="00C40B08">
        <w:rPr>
          <w:rFonts w:ascii="Calibri" w:hAnsi="Calibri"/>
        </w:rPr>
        <w:t xml:space="preserve">-All. Coal generation on the other hand is larger 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-All+EE case, reaching 1,183 billion kWh compared with 1,140 billion kWh 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 case. </w:t>
      </w:r>
    </w:p>
    <w:p w14:paraId="1B9475A8" w14:textId="7963A8A8" w:rsidR="000134BD" w:rsidRPr="00C40B08" w:rsidRDefault="000134BD" w:rsidP="000656C9">
      <w:pPr>
        <w:spacing w:before="100" w:beforeAutospacing="1" w:after="100" w:afterAutospacing="1" w:line="276" w:lineRule="auto"/>
        <w:rPr>
          <w:rFonts w:ascii="Calibri" w:hAnsi="Calibri"/>
        </w:rPr>
      </w:pPr>
      <w:r w:rsidRPr="00C40B08">
        <w:rPr>
          <w:rFonts w:ascii="Calibri" w:hAnsi="Calibri"/>
        </w:rPr>
        <w:t xml:space="preserve">Each of the </w:t>
      </w:r>
      <w:r w:rsidR="006C32A9">
        <w:rPr>
          <w:rFonts w:ascii="Calibri" w:hAnsi="Calibri"/>
        </w:rPr>
        <w:t>mitigation</w:t>
      </w:r>
      <w:r w:rsidRPr="00C40B08">
        <w:rPr>
          <w:rFonts w:ascii="Calibri" w:hAnsi="Calibri"/>
        </w:rPr>
        <w:t xml:space="preserve"> scenarios would increase nearly all of renewable resources in 2030, compared to the Reference case. In the Reference case, the magnitude of renewables generation is expected to grow by 51% between 2012 and 2030, mostly by the growth of wind and solar.  This growth would be </w:t>
      </w:r>
      <w:r w:rsidR="006D4996" w:rsidRPr="00C40B08">
        <w:rPr>
          <w:rFonts w:ascii="Calibri" w:hAnsi="Calibri"/>
        </w:rPr>
        <w:t>expanded</w:t>
      </w:r>
      <w:r w:rsidRPr="00C40B08">
        <w:rPr>
          <w:rFonts w:ascii="Calibri" w:hAnsi="Calibri"/>
        </w:rPr>
        <w:t xml:space="preserve"> by 88% 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-Existing scenario, 63% in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-Existing+EE, 112% in </w:t>
      </w:r>
      <w:r w:rsidR="00A10DA0" w:rsidRPr="00C40B08">
        <w:rPr>
          <w:rFonts w:ascii="Calibri" w:hAnsi="Calibri"/>
        </w:rPr>
        <w:t>CO</w:t>
      </w:r>
      <w:r w:rsidR="00A10DA0" w:rsidRPr="00C40B08">
        <w:rPr>
          <w:rFonts w:ascii="Calibri" w:hAnsi="Calibri"/>
          <w:vertAlign w:val="subscript"/>
        </w:rPr>
        <w:t>2</w:t>
      </w:r>
      <w:r w:rsidR="00A10DA0" w:rsidRPr="00C40B08">
        <w:rPr>
          <w:rFonts w:ascii="Calibri" w:hAnsi="Calibri"/>
        </w:rPr>
        <w:t>-Cap</w:t>
      </w:r>
      <w:r w:rsidRPr="00C40B08">
        <w:rPr>
          <w:rFonts w:ascii="Calibri" w:hAnsi="Calibri"/>
        </w:rPr>
        <w:t xml:space="preserve">-All, and 76% in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-All+EE in 2030. The response to the scenarios is distinct between utility-scale and distributed generation. In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 xml:space="preserve">-All </w:t>
      </w:r>
      <w:r w:rsidRPr="00C40B08">
        <w:rPr>
          <w:rFonts w:ascii="Calibri" w:hAnsi="Calibri"/>
        </w:rPr>
        <w:lastRenderedPageBreak/>
        <w:t>scenario, utility-scale renewable resources of electricity increase from 462 billion kWh in 2012 to 969 billion kWh in 2030 (</w:t>
      </w:r>
      <w:r w:rsidR="00B01ACA" w:rsidRPr="00C40B08">
        <w:rPr>
          <w:rFonts w:ascii="Calibri" w:hAnsi="Calibri"/>
        </w:rPr>
        <w:t xml:space="preserve">a </w:t>
      </w:r>
      <w:r w:rsidRPr="00C40B08">
        <w:rPr>
          <w:rFonts w:ascii="Calibri" w:hAnsi="Calibri"/>
        </w:rPr>
        <w:t>110% increase). Distributed renewable resources grow from 39 billion kWh in 2012 to 94 billion kWh in 2030 (</w:t>
      </w:r>
      <w:r w:rsidR="00B01ACA" w:rsidRPr="00C40B08">
        <w:rPr>
          <w:rFonts w:ascii="Calibri" w:hAnsi="Calibri"/>
        </w:rPr>
        <w:t xml:space="preserve">a </w:t>
      </w:r>
      <w:r w:rsidRPr="00C40B08">
        <w:rPr>
          <w:rFonts w:ascii="Calibri" w:hAnsi="Calibri"/>
        </w:rPr>
        <w:t>143% increase). By adding strong energy-efficiency policies to the “</w:t>
      </w:r>
      <w:r w:rsidR="00A2216A" w:rsidRPr="00C40B08">
        <w:rPr>
          <w:rFonts w:ascii="Calibri" w:hAnsi="Calibri"/>
        </w:rPr>
        <w:t>CO</w:t>
      </w:r>
      <w:r w:rsidR="00A2216A" w:rsidRPr="00C40B08">
        <w:rPr>
          <w:rFonts w:ascii="Calibri" w:hAnsi="Calibri"/>
          <w:vertAlign w:val="subscript"/>
        </w:rPr>
        <w:t>2</w:t>
      </w:r>
      <w:r w:rsidR="00A2216A" w:rsidRPr="00C40B08">
        <w:rPr>
          <w:rFonts w:ascii="Calibri" w:hAnsi="Calibri"/>
        </w:rPr>
        <w:t>-Cap</w:t>
      </w:r>
      <w:r w:rsidRPr="00C40B08">
        <w:rPr>
          <w:rFonts w:ascii="Calibri" w:hAnsi="Calibri"/>
        </w:rPr>
        <w:t>-All” scenario, utility-scale renewable generation grow</w:t>
      </w:r>
      <w:r w:rsidR="00B01ACA" w:rsidRPr="00C40B08">
        <w:rPr>
          <w:rFonts w:ascii="Calibri" w:hAnsi="Calibri"/>
        </w:rPr>
        <w:t>s</w:t>
      </w:r>
      <w:r w:rsidRPr="00C40B08">
        <w:rPr>
          <w:rFonts w:ascii="Calibri" w:hAnsi="Calibri"/>
        </w:rPr>
        <w:t xml:space="preserve"> by </w:t>
      </w:r>
      <w:r w:rsidR="00B01ACA" w:rsidRPr="00C40B08">
        <w:rPr>
          <w:rFonts w:ascii="Calibri" w:hAnsi="Calibri"/>
        </w:rPr>
        <w:t xml:space="preserve">only </w:t>
      </w:r>
      <w:r w:rsidRPr="00C40B08">
        <w:rPr>
          <w:rFonts w:ascii="Calibri" w:hAnsi="Calibri"/>
        </w:rPr>
        <w:t>70% in 2030. However, the growth of distributed renewable resources is continuously accelerated by 143% in 2030 even though demand shrinks with the push on energy efficiency.</w:t>
      </w:r>
    </w:p>
    <w:p w14:paraId="2F8BCD68" w14:textId="1322A3B2" w:rsidR="00EA112C" w:rsidRPr="00C40B08" w:rsidRDefault="00144298" w:rsidP="000656C9">
      <w:pPr>
        <w:pStyle w:val="TablesandFigures"/>
        <w:spacing w:line="276" w:lineRule="auto"/>
        <w:jc w:val="center"/>
        <w:rPr>
          <w:rFonts w:ascii="Calibri" w:hAnsi="Calibri"/>
          <w:color w:val="auto"/>
          <w:sz w:val="24"/>
          <w:szCs w:val="24"/>
        </w:rPr>
      </w:pPr>
      <w:r w:rsidRPr="00C40B08">
        <w:rPr>
          <w:rFonts w:ascii="Calibri" w:hAnsi="Calibri"/>
          <w:color w:val="auto"/>
          <w:sz w:val="24"/>
          <w:szCs w:val="24"/>
        </w:rPr>
        <w:t xml:space="preserve">Figure </w:t>
      </w:r>
      <w:r w:rsidR="00EF4CA0" w:rsidRPr="00C40B08">
        <w:rPr>
          <w:rFonts w:ascii="Calibri" w:hAnsi="Calibri"/>
          <w:color w:val="auto"/>
          <w:sz w:val="24"/>
          <w:szCs w:val="24"/>
        </w:rPr>
        <w:t>6</w:t>
      </w:r>
      <w:r w:rsidR="00EA112C" w:rsidRPr="00C40B08">
        <w:rPr>
          <w:rFonts w:ascii="Calibri" w:hAnsi="Calibri"/>
          <w:color w:val="auto"/>
          <w:sz w:val="24"/>
          <w:szCs w:val="24"/>
        </w:rPr>
        <w:t xml:space="preserve">. Impact of </w:t>
      </w:r>
      <w:r w:rsidR="00136071" w:rsidRPr="00C40B08">
        <w:rPr>
          <w:rFonts w:ascii="Calibri" w:hAnsi="Calibri"/>
          <w:color w:val="auto"/>
          <w:sz w:val="24"/>
          <w:szCs w:val="24"/>
        </w:rPr>
        <w:t>Mitigation</w:t>
      </w:r>
      <w:r w:rsidR="00EA112C" w:rsidRPr="00C40B08">
        <w:rPr>
          <w:rFonts w:ascii="Calibri" w:hAnsi="Calibri"/>
          <w:color w:val="auto"/>
          <w:sz w:val="24"/>
          <w:szCs w:val="24"/>
        </w:rPr>
        <w:t xml:space="preserve"> Scenarios on the U.S. Fuel Mix</w:t>
      </w:r>
    </w:p>
    <w:p w14:paraId="62BF5CD4" w14:textId="21905804" w:rsidR="00775307" w:rsidRPr="00C40B08" w:rsidRDefault="00CA6589" w:rsidP="000656C9">
      <w:pPr>
        <w:spacing w:after="160" w:line="276" w:lineRule="auto"/>
        <w:jc w:val="center"/>
        <w:rPr>
          <w:rFonts w:ascii="Calibri" w:hAnsi="Calibri"/>
          <w:b/>
        </w:rPr>
      </w:pPr>
      <w:r>
        <w:rPr>
          <w:noProof/>
        </w:rPr>
        <w:drawing>
          <wp:inline distT="0" distB="0" distL="0" distR="0" wp14:anchorId="398D63A6" wp14:editId="0034BB1D">
            <wp:extent cx="5488940" cy="455465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png"/>
                    <pic:cNvPicPr/>
                  </pic:nvPicPr>
                  <pic:blipFill>
                    <a:blip r:embed="rId19">
                      <a:extLst>
                        <a:ext uri="{28A0092B-C50C-407E-A947-70E740481C1C}">
                          <a14:useLocalDpi xmlns:a14="http://schemas.microsoft.com/office/drawing/2010/main" val="0"/>
                        </a:ext>
                      </a:extLst>
                    </a:blip>
                    <a:stretch>
                      <a:fillRect/>
                    </a:stretch>
                  </pic:blipFill>
                  <pic:spPr>
                    <a:xfrm>
                      <a:off x="0" y="0"/>
                      <a:ext cx="5488940" cy="4554652"/>
                    </a:xfrm>
                    <a:prstGeom prst="rect">
                      <a:avLst/>
                    </a:prstGeom>
                  </pic:spPr>
                </pic:pic>
              </a:graphicData>
            </a:graphic>
          </wp:inline>
        </w:drawing>
      </w:r>
    </w:p>
    <w:p w14:paraId="0E9209B0" w14:textId="01D8D97A" w:rsidR="005C47FE" w:rsidRPr="00C40B08" w:rsidRDefault="00951E73" w:rsidP="000656C9">
      <w:pPr>
        <w:pStyle w:val="ListParagraph"/>
        <w:numPr>
          <w:ilvl w:val="0"/>
          <w:numId w:val="4"/>
        </w:numPr>
        <w:spacing w:line="276" w:lineRule="auto"/>
        <w:outlineLvl w:val="0"/>
        <w:rPr>
          <w:rFonts w:ascii="Calibri" w:hAnsi="Calibri" w:cs="Times New Roman"/>
          <w:b/>
          <w:sz w:val="24"/>
          <w:szCs w:val="24"/>
        </w:rPr>
      </w:pPr>
      <w:r w:rsidRPr="00C40B08">
        <w:rPr>
          <w:rFonts w:ascii="Calibri" w:hAnsi="Calibri" w:cs="Times New Roman"/>
          <w:b/>
          <w:sz w:val="24"/>
          <w:szCs w:val="24"/>
        </w:rPr>
        <w:t>Conclusions</w:t>
      </w:r>
      <w:r w:rsidR="00DB6474" w:rsidRPr="00C40B08">
        <w:rPr>
          <w:rFonts w:ascii="Calibri" w:hAnsi="Calibri" w:cs="Times New Roman"/>
          <w:b/>
          <w:sz w:val="24"/>
          <w:szCs w:val="24"/>
        </w:rPr>
        <w:t xml:space="preserve"> and Policy Implications</w:t>
      </w:r>
    </w:p>
    <w:p w14:paraId="14BEACF5" w14:textId="1E129D58" w:rsidR="00B131AB" w:rsidRPr="00C40B08" w:rsidRDefault="002913D5" w:rsidP="000656C9">
      <w:pPr>
        <w:spacing w:before="100" w:beforeAutospacing="1" w:after="100" w:afterAutospacing="1" w:line="276" w:lineRule="auto"/>
        <w:rPr>
          <w:rFonts w:ascii="Calibri" w:hAnsi="Calibri"/>
        </w:rPr>
      </w:pPr>
      <w:r w:rsidRPr="00C40B08">
        <w:rPr>
          <w:rFonts w:ascii="Calibri" w:hAnsi="Calibri"/>
        </w:rPr>
        <w:t xml:space="preserve">In addressing the research question of what </w:t>
      </w:r>
      <w:r w:rsidR="00626AA7">
        <w:rPr>
          <w:rFonts w:ascii="Calibri" w:hAnsi="Calibri"/>
        </w:rPr>
        <w:t>integrated</w:t>
      </w:r>
      <w:r w:rsidRPr="00C40B08">
        <w:rPr>
          <w:rFonts w:ascii="Calibri" w:hAnsi="Calibri"/>
        </w:rPr>
        <w:t xml:space="preserve"> analysis would reveal about the role of energy efficiency in </w:t>
      </w:r>
      <w:r w:rsidR="00136071" w:rsidRPr="00C40B08">
        <w:rPr>
          <w:rFonts w:ascii="Calibri" w:hAnsi="Calibri"/>
        </w:rPr>
        <w:t>carbon mitigation pathways</w:t>
      </w:r>
      <w:r w:rsidRPr="00C40B08">
        <w:rPr>
          <w:rFonts w:ascii="Calibri" w:hAnsi="Calibri"/>
        </w:rPr>
        <w:t>, w</w:t>
      </w:r>
      <w:r w:rsidR="007D69CF" w:rsidRPr="00C40B08">
        <w:rPr>
          <w:rFonts w:ascii="Calibri" w:hAnsi="Calibri"/>
        </w:rPr>
        <w:t xml:space="preserve">e have shown that energy efficiency </w:t>
      </w:r>
      <w:r w:rsidR="00136071" w:rsidRPr="00C40B08">
        <w:rPr>
          <w:rFonts w:ascii="Calibri" w:hAnsi="Calibri"/>
        </w:rPr>
        <w:t>play</w:t>
      </w:r>
      <w:r w:rsidR="00626AA7">
        <w:rPr>
          <w:rFonts w:ascii="Calibri" w:hAnsi="Calibri"/>
        </w:rPr>
        <w:t>s</w:t>
      </w:r>
      <w:r w:rsidR="00136071" w:rsidRPr="00C40B08">
        <w:rPr>
          <w:rFonts w:ascii="Calibri" w:hAnsi="Calibri"/>
        </w:rPr>
        <w:t xml:space="preserve"> many important roles</w:t>
      </w:r>
      <w:r w:rsidR="007D69CF" w:rsidRPr="00C40B08">
        <w:rPr>
          <w:rFonts w:ascii="Calibri" w:hAnsi="Calibri"/>
        </w:rPr>
        <w:t>.  First and foremost, t</w:t>
      </w:r>
      <w:r w:rsidR="007D0C8E" w:rsidRPr="00C40B08">
        <w:rPr>
          <w:rFonts w:ascii="Calibri" w:hAnsi="Calibri"/>
        </w:rPr>
        <w:t>he</w:t>
      </w:r>
      <w:r w:rsidR="00B131AB" w:rsidRPr="00C40B08">
        <w:rPr>
          <w:rFonts w:ascii="Calibri" w:hAnsi="Calibri"/>
        </w:rPr>
        <w:t xml:space="preserve"> clean </w:t>
      </w:r>
      <w:r w:rsidR="007D69CF" w:rsidRPr="00C40B08">
        <w:rPr>
          <w:rFonts w:ascii="Calibri" w:hAnsi="Calibri"/>
        </w:rPr>
        <w:t>power</w:t>
      </w:r>
      <w:r w:rsidR="00B131AB" w:rsidRPr="00C40B08">
        <w:rPr>
          <w:rFonts w:ascii="Calibri" w:hAnsi="Calibri"/>
        </w:rPr>
        <w:t xml:space="preserve"> transformation</w:t>
      </w:r>
      <w:r w:rsidR="007D0C8E" w:rsidRPr="00C40B08">
        <w:rPr>
          <w:rFonts w:ascii="Calibri" w:hAnsi="Calibri"/>
        </w:rPr>
        <w:t xml:space="preserve"> can be made more affordable </w:t>
      </w:r>
      <w:r w:rsidR="00626AA7">
        <w:rPr>
          <w:rFonts w:ascii="Calibri" w:hAnsi="Calibri"/>
        </w:rPr>
        <w:t>by improving the efficiency of energy utilization</w:t>
      </w:r>
      <w:r w:rsidR="007D0C8E" w:rsidRPr="00C40B08">
        <w:rPr>
          <w:rFonts w:ascii="Calibri" w:hAnsi="Calibri"/>
        </w:rPr>
        <w:t xml:space="preserve">. </w:t>
      </w:r>
      <w:r w:rsidR="00B01ACA" w:rsidRPr="00C40B08">
        <w:rPr>
          <w:rFonts w:ascii="Calibri" w:hAnsi="Calibri"/>
        </w:rPr>
        <w:t>Ceteris paribus, p</w:t>
      </w:r>
      <w:r w:rsidR="00B131AB" w:rsidRPr="00C40B08">
        <w:rPr>
          <w:rFonts w:ascii="Calibri" w:hAnsi="Calibri"/>
        </w:rPr>
        <w:t xml:space="preserve">er capita electricity bills are forecast to increase </w:t>
      </w:r>
      <w:r w:rsidR="007D69CF" w:rsidRPr="00C40B08">
        <w:rPr>
          <w:rFonts w:ascii="Calibri" w:hAnsi="Calibri"/>
        </w:rPr>
        <w:t>over the next 15 years</w:t>
      </w:r>
      <w:r w:rsidR="007D0C8E" w:rsidRPr="00C40B08">
        <w:rPr>
          <w:rFonts w:ascii="Calibri" w:hAnsi="Calibri"/>
        </w:rPr>
        <w:t xml:space="preserve">, </w:t>
      </w:r>
      <w:r w:rsidR="007D69CF" w:rsidRPr="00C40B08">
        <w:rPr>
          <w:rFonts w:ascii="Calibri" w:hAnsi="Calibri"/>
        </w:rPr>
        <w:t xml:space="preserve">and if </w:t>
      </w:r>
      <w:r w:rsidR="00A2216A" w:rsidRPr="00C40B08">
        <w:rPr>
          <w:rFonts w:ascii="Calibri" w:hAnsi="Calibri"/>
        </w:rPr>
        <w:t>carbon caps are</w:t>
      </w:r>
      <w:r w:rsidR="007D69CF" w:rsidRPr="00C40B08">
        <w:rPr>
          <w:rFonts w:ascii="Calibri" w:hAnsi="Calibri"/>
        </w:rPr>
        <w:t xml:space="preserve"> not wisely implemented, </w:t>
      </w:r>
      <w:r w:rsidR="00A2216A" w:rsidRPr="00C40B08">
        <w:rPr>
          <w:rFonts w:ascii="Calibri" w:hAnsi="Calibri"/>
        </w:rPr>
        <w:t xml:space="preserve">they </w:t>
      </w:r>
      <w:r w:rsidR="007D69CF" w:rsidRPr="00C40B08">
        <w:rPr>
          <w:rFonts w:ascii="Calibri" w:hAnsi="Calibri"/>
        </w:rPr>
        <w:t>could lead to even higher energy bills</w:t>
      </w:r>
      <w:r w:rsidR="00B131AB" w:rsidRPr="00C40B08">
        <w:rPr>
          <w:rFonts w:ascii="Calibri" w:hAnsi="Calibri"/>
        </w:rPr>
        <w:t xml:space="preserve">. </w:t>
      </w:r>
      <w:r w:rsidR="007D69CF" w:rsidRPr="00C40B08">
        <w:rPr>
          <w:rFonts w:ascii="Calibri" w:hAnsi="Calibri"/>
        </w:rPr>
        <w:t xml:space="preserve">With strong energy-efficiency </w:t>
      </w:r>
      <w:r w:rsidR="007D69CF" w:rsidRPr="00C40B08">
        <w:rPr>
          <w:rFonts w:ascii="Calibri" w:hAnsi="Calibri"/>
        </w:rPr>
        <w:lastRenderedPageBreak/>
        <w:t>policies, the</w:t>
      </w:r>
      <w:r w:rsidR="00B131AB" w:rsidRPr="00C40B08">
        <w:rPr>
          <w:rFonts w:ascii="Calibri" w:hAnsi="Calibri"/>
        </w:rPr>
        <w:t xml:space="preserve"> </w:t>
      </w:r>
      <w:r w:rsidR="007D0C8E" w:rsidRPr="00C40B08">
        <w:rPr>
          <w:rFonts w:ascii="Calibri" w:hAnsi="Calibri"/>
        </w:rPr>
        <w:t xml:space="preserve">growth </w:t>
      </w:r>
      <w:r w:rsidR="007D69CF" w:rsidRPr="00C40B08">
        <w:rPr>
          <w:rFonts w:ascii="Calibri" w:hAnsi="Calibri"/>
        </w:rPr>
        <w:t>of</w:t>
      </w:r>
      <w:r w:rsidR="007D0C8E" w:rsidRPr="00C40B08">
        <w:rPr>
          <w:rFonts w:ascii="Calibri" w:hAnsi="Calibri"/>
        </w:rPr>
        <w:t xml:space="preserve"> energy consumption </w:t>
      </w:r>
      <w:r w:rsidR="004A56B6" w:rsidRPr="00C40B08">
        <w:rPr>
          <w:rFonts w:ascii="Calibri" w:hAnsi="Calibri"/>
        </w:rPr>
        <w:t xml:space="preserve">and the escalation of energy rates </w:t>
      </w:r>
      <w:r w:rsidR="007D69CF" w:rsidRPr="00C40B08">
        <w:rPr>
          <w:rFonts w:ascii="Calibri" w:hAnsi="Calibri"/>
        </w:rPr>
        <w:t>could be</w:t>
      </w:r>
      <w:r w:rsidR="007D0C8E" w:rsidRPr="00C40B08">
        <w:rPr>
          <w:rFonts w:ascii="Calibri" w:hAnsi="Calibri"/>
        </w:rPr>
        <w:t xml:space="preserve"> constrained</w:t>
      </w:r>
      <w:r w:rsidR="007D69CF" w:rsidRPr="00C40B08">
        <w:rPr>
          <w:rFonts w:ascii="Calibri" w:hAnsi="Calibri"/>
        </w:rPr>
        <w:t>, bringing electricity bills</w:t>
      </w:r>
      <w:r w:rsidR="00B131AB" w:rsidRPr="00C40B08">
        <w:rPr>
          <w:rFonts w:ascii="Calibri" w:hAnsi="Calibri"/>
        </w:rPr>
        <w:t xml:space="preserve"> back to 2012 levels. </w:t>
      </w:r>
      <w:r w:rsidR="007D0C8E" w:rsidRPr="00C40B08">
        <w:rPr>
          <w:rFonts w:ascii="Calibri" w:hAnsi="Calibri"/>
        </w:rPr>
        <w:t>T</w:t>
      </w:r>
      <w:r w:rsidR="00B131AB" w:rsidRPr="00C40B08">
        <w:rPr>
          <w:rFonts w:ascii="Calibri" w:hAnsi="Calibri"/>
        </w:rPr>
        <w:t xml:space="preserve">otal resource costs of the electricity sector are also lower in the </w:t>
      </w:r>
      <w:r w:rsidR="006C32A9">
        <w:rPr>
          <w:rFonts w:ascii="Calibri" w:hAnsi="Calibri"/>
        </w:rPr>
        <w:t>mitigation</w:t>
      </w:r>
      <w:r w:rsidR="00B131AB" w:rsidRPr="00C40B08">
        <w:rPr>
          <w:rFonts w:ascii="Calibri" w:hAnsi="Calibri"/>
        </w:rPr>
        <w:t xml:space="preserve"> pathways that include strong energy-efficiency policie</w:t>
      </w:r>
      <w:r w:rsidR="0019232F" w:rsidRPr="00C40B08">
        <w:rPr>
          <w:rFonts w:ascii="Calibri" w:hAnsi="Calibri"/>
        </w:rPr>
        <w:t>s</w:t>
      </w:r>
      <w:r w:rsidR="00863A4B" w:rsidRPr="00C40B08">
        <w:rPr>
          <w:rFonts w:ascii="Calibri" w:hAnsi="Calibri"/>
        </w:rPr>
        <w:t>, and these savings exceed the incremental investment cost of consumers</w:t>
      </w:r>
      <w:r w:rsidR="0019232F" w:rsidRPr="00C40B08">
        <w:rPr>
          <w:rFonts w:ascii="Calibri" w:hAnsi="Calibri"/>
        </w:rPr>
        <w:t>.</w:t>
      </w:r>
    </w:p>
    <w:p w14:paraId="6243342E" w14:textId="5434D4F0" w:rsidR="00B131AB" w:rsidRPr="00C40B08" w:rsidRDefault="00470BC9" w:rsidP="000656C9">
      <w:pPr>
        <w:spacing w:before="100" w:beforeAutospacing="1" w:after="100" w:afterAutospacing="1" w:line="276" w:lineRule="auto"/>
        <w:rPr>
          <w:rFonts w:ascii="Calibri" w:hAnsi="Calibri"/>
        </w:rPr>
      </w:pPr>
      <w:r w:rsidRPr="00C40B08">
        <w:rPr>
          <w:rFonts w:ascii="Calibri" w:hAnsi="Calibri"/>
        </w:rPr>
        <w:t>The modeling clearly illustrates that strong energy-efficiency policies in the U.S. would reduce the construction of new NGCC plants and the long-term lock-in of natural gas. Specifically, c</w:t>
      </w:r>
      <w:r w:rsidR="00B131AB" w:rsidRPr="00C40B08">
        <w:rPr>
          <w:rFonts w:ascii="Calibri" w:hAnsi="Calibri"/>
        </w:rPr>
        <w:t>ompliance</w:t>
      </w:r>
      <w:r w:rsidR="0019232F" w:rsidRPr="00C40B08">
        <w:rPr>
          <w:rFonts w:ascii="Calibri" w:hAnsi="Calibri"/>
        </w:rPr>
        <w:t xml:space="preserve"> with the CPP could produce a 59</w:t>
      </w:r>
      <w:r w:rsidR="00B131AB" w:rsidRPr="00C40B08">
        <w:rPr>
          <w:rFonts w:ascii="Calibri" w:hAnsi="Calibri"/>
        </w:rPr>
        <w:t xml:space="preserve">% increase in the capacity of </w:t>
      </w:r>
      <w:r w:rsidR="0019232F" w:rsidRPr="00C40B08">
        <w:rPr>
          <w:rFonts w:ascii="Calibri" w:hAnsi="Calibri"/>
        </w:rPr>
        <w:t>NGCC</w:t>
      </w:r>
      <w:r w:rsidR="00B131AB" w:rsidRPr="00C40B08">
        <w:rPr>
          <w:rFonts w:ascii="Calibri" w:hAnsi="Calibri"/>
        </w:rPr>
        <w:t xml:space="preserve"> plants over the next 25 years</w:t>
      </w:r>
      <w:r w:rsidR="00626AA7">
        <w:rPr>
          <w:rFonts w:ascii="Calibri" w:hAnsi="Calibri"/>
        </w:rPr>
        <w:t xml:space="preserve">; this </w:t>
      </w:r>
      <w:r w:rsidR="0019232F" w:rsidRPr="00C40B08">
        <w:rPr>
          <w:rFonts w:ascii="Calibri" w:hAnsi="Calibri"/>
        </w:rPr>
        <w:t xml:space="preserve">could be </w:t>
      </w:r>
      <w:r w:rsidR="00626AA7">
        <w:rPr>
          <w:rFonts w:ascii="Calibri" w:hAnsi="Calibri"/>
        </w:rPr>
        <w:t>cost-effectively reduced</w:t>
      </w:r>
      <w:r w:rsidR="0019232F" w:rsidRPr="00C40B08">
        <w:rPr>
          <w:rFonts w:ascii="Calibri" w:hAnsi="Calibri"/>
        </w:rPr>
        <w:t xml:space="preserve"> </w:t>
      </w:r>
      <w:r w:rsidR="00626AA7" w:rsidRPr="00C40B08">
        <w:rPr>
          <w:rFonts w:ascii="Calibri" w:hAnsi="Calibri"/>
        </w:rPr>
        <w:t xml:space="preserve">to a 13% increase </w:t>
      </w:r>
      <w:r w:rsidR="00626AA7">
        <w:rPr>
          <w:rFonts w:ascii="Calibri" w:hAnsi="Calibri"/>
        </w:rPr>
        <w:t>by improving the efficiency of energy utilization.</w:t>
      </w:r>
    </w:p>
    <w:p w14:paraId="5EB66192" w14:textId="0659A737" w:rsidR="004C7080" w:rsidRPr="00C40B08" w:rsidRDefault="00470BC9" w:rsidP="000656C9">
      <w:pPr>
        <w:spacing w:before="100" w:beforeAutospacing="1" w:after="100" w:afterAutospacing="1" w:line="276" w:lineRule="auto"/>
        <w:rPr>
          <w:rFonts w:ascii="Calibri" w:hAnsi="Calibri"/>
        </w:rPr>
      </w:pPr>
      <w:r w:rsidRPr="00C40B08">
        <w:rPr>
          <w:rFonts w:ascii="Calibri" w:hAnsi="Calibri"/>
        </w:rPr>
        <w:t xml:space="preserve">The </w:t>
      </w:r>
      <w:r w:rsidR="004C7080" w:rsidRPr="00C40B08">
        <w:rPr>
          <w:rFonts w:ascii="Calibri" w:hAnsi="Calibri"/>
        </w:rPr>
        <w:t>mitigation of</w:t>
      </w:r>
      <w:r w:rsidRPr="00C40B08">
        <w:rPr>
          <w:rFonts w:ascii="Calibri" w:hAnsi="Calibri"/>
        </w:rPr>
        <w:t xml:space="preserve"> carbon leakage </w:t>
      </w:r>
      <w:r w:rsidR="004C7080" w:rsidRPr="00C40B08">
        <w:rPr>
          <w:rFonts w:ascii="Calibri" w:hAnsi="Calibri"/>
        </w:rPr>
        <w:t xml:space="preserve">by strong energy-efficiency policies </w:t>
      </w:r>
      <w:r w:rsidRPr="00C40B08">
        <w:rPr>
          <w:rFonts w:ascii="Calibri" w:hAnsi="Calibri"/>
        </w:rPr>
        <w:t xml:space="preserve">is also </w:t>
      </w:r>
      <w:r w:rsidR="004C7080" w:rsidRPr="00C40B08">
        <w:rPr>
          <w:rFonts w:ascii="Calibri" w:hAnsi="Calibri"/>
        </w:rPr>
        <w:t>documented</w:t>
      </w:r>
      <w:r w:rsidRPr="00C40B08">
        <w:rPr>
          <w:rFonts w:ascii="Calibri" w:hAnsi="Calibri"/>
        </w:rPr>
        <w:t xml:space="preserve">. </w:t>
      </w:r>
      <w:r w:rsidR="004C7080" w:rsidRPr="00C40B08">
        <w:rPr>
          <w:rFonts w:ascii="Calibri" w:hAnsi="Calibri"/>
        </w:rPr>
        <w:t xml:space="preserve">Specifically, the 177 million short tons of carbon leakage that occurs in 2030 when only existing power plants are regulated is reduced 82% by </w:t>
      </w:r>
      <w:r w:rsidR="00E20FEC" w:rsidRPr="00C40B08">
        <w:rPr>
          <w:rFonts w:ascii="Calibri" w:hAnsi="Calibri"/>
        </w:rPr>
        <w:t>energy-</w:t>
      </w:r>
      <w:r w:rsidR="004C7080" w:rsidRPr="00C40B08">
        <w:rPr>
          <w:rFonts w:ascii="Calibri" w:hAnsi="Calibri"/>
        </w:rPr>
        <w:t>efficiency measures. This f</w:t>
      </w:r>
      <w:r w:rsidR="0019232F" w:rsidRPr="00C40B08">
        <w:rPr>
          <w:rFonts w:ascii="Calibri" w:hAnsi="Calibri"/>
        </w:rPr>
        <w:t xml:space="preserve">inding underscores </w:t>
      </w:r>
      <w:r w:rsidR="00626AA7">
        <w:rPr>
          <w:rFonts w:ascii="Calibri" w:hAnsi="Calibri"/>
        </w:rPr>
        <w:t xml:space="preserve">the importance of </w:t>
      </w:r>
      <w:r w:rsidR="00626AA7" w:rsidRPr="00C40B08">
        <w:rPr>
          <w:rFonts w:ascii="Calibri" w:hAnsi="Calibri"/>
        </w:rPr>
        <w:t>adopt</w:t>
      </w:r>
      <w:r w:rsidR="00626AA7">
        <w:rPr>
          <w:rFonts w:ascii="Calibri" w:hAnsi="Calibri"/>
        </w:rPr>
        <w:t>ing</w:t>
      </w:r>
      <w:r w:rsidR="00626AA7" w:rsidRPr="00C40B08">
        <w:rPr>
          <w:rFonts w:ascii="Calibri" w:hAnsi="Calibri"/>
        </w:rPr>
        <w:t xml:space="preserve"> leakage-mitigation strategies </w:t>
      </w:r>
      <w:r w:rsidR="00626AA7">
        <w:rPr>
          <w:rFonts w:ascii="Calibri" w:hAnsi="Calibri"/>
        </w:rPr>
        <w:t>when using mass-based CO</w:t>
      </w:r>
      <w:r w:rsidR="00626AA7" w:rsidRPr="00626AA7">
        <w:rPr>
          <w:rFonts w:ascii="Calibri" w:hAnsi="Calibri"/>
          <w:vertAlign w:val="subscript"/>
        </w:rPr>
        <w:t>2</w:t>
      </w:r>
      <w:r w:rsidR="00626AA7">
        <w:rPr>
          <w:rFonts w:ascii="Calibri" w:hAnsi="Calibri"/>
        </w:rPr>
        <w:t xml:space="preserve"> caps</w:t>
      </w:r>
      <w:r w:rsidR="004C7080" w:rsidRPr="00C40B08">
        <w:rPr>
          <w:rFonts w:ascii="Calibri" w:hAnsi="Calibri"/>
        </w:rPr>
        <w:t xml:space="preserve">. </w:t>
      </w:r>
      <w:r w:rsidR="00F35CB5" w:rsidRPr="00C40B08">
        <w:rPr>
          <w:rFonts w:ascii="Calibri" w:hAnsi="Calibri"/>
        </w:rPr>
        <w:t xml:space="preserve">It also highlights the legacy impacts </w:t>
      </w:r>
      <w:r w:rsidR="00B01ACA" w:rsidRPr="00C40B08">
        <w:rPr>
          <w:rFonts w:ascii="Calibri" w:hAnsi="Calibri"/>
        </w:rPr>
        <w:t xml:space="preserve">of </w:t>
      </w:r>
      <w:r w:rsidR="00F35CB5" w:rsidRPr="00C40B08">
        <w:rPr>
          <w:rFonts w:ascii="Calibri" w:hAnsi="Calibri"/>
        </w:rPr>
        <w:t xml:space="preserve">near-term </w:t>
      </w:r>
      <w:r w:rsidR="00E813BE" w:rsidRPr="00C40B08">
        <w:rPr>
          <w:rFonts w:ascii="Calibri" w:hAnsi="Calibri"/>
        </w:rPr>
        <w:t>in</w:t>
      </w:r>
      <w:r w:rsidR="00B01ACA" w:rsidRPr="00C40B08">
        <w:rPr>
          <w:rFonts w:ascii="Calibri" w:hAnsi="Calibri"/>
        </w:rPr>
        <w:t>vestments</w:t>
      </w:r>
      <w:r w:rsidR="00F35CB5" w:rsidRPr="00C40B08">
        <w:rPr>
          <w:rFonts w:ascii="Calibri" w:hAnsi="Calibri"/>
        </w:rPr>
        <w:t xml:space="preserve">, </w:t>
      </w:r>
      <w:r w:rsidR="002C04BE">
        <w:rPr>
          <w:rFonts w:ascii="Calibri" w:hAnsi="Calibri"/>
        </w:rPr>
        <w:t>underscoring the need to consider</w:t>
      </w:r>
      <w:r w:rsidR="00F35CB5" w:rsidRPr="00C40B08">
        <w:rPr>
          <w:rFonts w:ascii="Calibri" w:hAnsi="Calibri"/>
        </w:rPr>
        <w:t xml:space="preserve"> long-term consequences </w:t>
      </w:r>
      <w:r w:rsidR="001B269C" w:rsidRPr="00C40B08">
        <w:rPr>
          <w:rFonts w:ascii="Calibri" w:hAnsi="Calibri"/>
        </w:rPr>
        <w:t>when</w:t>
      </w:r>
      <w:r w:rsidR="00F35CB5" w:rsidRPr="00C40B08">
        <w:rPr>
          <w:rFonts w:ascii="Calibri" w:hAnsi="Calibri"/>
        </w:rPr>
        <w:t xml:space="preserve"> designing </w:t>
      </w:r>
      <w:r w:rsidR="002C04BE">
        <w:rPr>
          <w:rFonts w:ascii="Calibri" w:hAnsi="Calibri"/>
        </w:rPr>
        <w:t>carbon mitigation policies</w:t>
      </w:r>
      <w:r w:rsidR="00F35CB5" w:rsidRPr="00C40B08">
        <w:rPr>
          <w:rFonts w:ascii="Calibri" w:hAnsi="Calibri"/>
        </w:rPr>
        <w:t xml:space="preserve"> (Murray, </w:t>
      </w:r>
      <w:proofErr w:type="spellStart"/>
      <w:r w:rsidR="00F35CB5" w:rsidRPr="00C40B08">
        <w:rPr>
          <w:rFonts w:ascii="Calibri" w:hAnsi="Calibri"/>
        </w:rPr>
        <w:t>Pizer</w:t>
      </w:r>
      <w:proofErr w:type="spellEnd"/>
      <w:r w:rsidR="00F35CB5" w:rsidRPr="00C40B08">
        <w:rPr>
          <w:rFonts w:ascii="Calibri" w:hAnsi="Calibri"/>
        </w:rPr>
        <w:t>, and Martin, 2015).</w:t>
      </w:r>
    </w:p>
    <w:p w14:paraId="625BAB04" w14:textId="40DFCD78" w:rsidR="00470BC9" w:rsidRPr="00C40B08" w:rsidRDefault="00F35CB5" w:rsidP="000656C9">
      <w:pPr>
        <w:spacing w:before="100" w:beforeAutospacing="1" w:after="100" w:afterAutospacing="1" w:line="276" w:lineRule="auto"/>
        <w:rPr>
          <w:rFonts w:ascii="Calibri" w:hAnsi="Calibri"/>
        </w:rPr>
      </w:pPr>
      <w:r w:rsidRPr="00C40B08">
        <w:rPr>
          <w:rFonts w:ascii="Calibri" w:hAnsi="Calibri"/>
        </w:rPr>
        <w:t>We find that</w:t>
      </w:r>
      <w:r w:rsidR="00470BC9" w:rsidRPr="00C40B08">
        <w:rPr>
          <w:rFonts w:ascii="Calibri" w:hAnsi="Calibri"/>
        </w:rPr>
        <w:t xml:space="preserve"> the abatement of local pollutants –</w:t>
      </w:r>
      <w:r w:rsidR="00E20FEC" w:rsidRPr="00C40B08">
        <w:rPr>
          <w:rFonts w:ascii="Calibri" w:hAnsi="Calibri"/>
        </w:rPr>
        <w:t xml:space="preserve"> </w:t>
      </w:r>
      <w:r w:rsidR="00470BC9" w:rsidRPr="00C40B08">
        <w:rPr>
          <w:rFonts w:ascii="Calibri" w:hAnsi="Calibri"/>
        </w:rPr>
        <w:t>a</w:t>
      </w:r>
      <w:r w:rsidR="0009760C" w:rsidRPr="00C40B08">
        <w:rPr>
          <w:rFonts w:ascii="Calibri" w:hAnsi="Calibri"/>
        </w:rPr>
        <w:t xml:space="preserve"> </w:t>
      </w:r>
      <w:r w:rsidR="00B82A66" w:rsidRPr="00C40B08">
        <w:rPr>
          <w:rFonts w:ascii="Calibri" w:hAnsi="Calibri"/>
        </w:rPr>
        <w:t xml:space="preserve">common </w:t>
      </w:r>
      <w:r w:rsidR="00EE0122" w:rsidRPr="00C40B08">
        <w:rPr>
          <w:rFonts w:ascii="Calibri" w:hAnsi="Calibri"/>
        </w:rPr>
        <w:t>co-benefit</w:t>
      </w:r>
      <w:r w:rsidR="00470BC9" w:rsidRPr="00C40B08">
        <w:rPr>
          <w:rFonts w:ascii="Calibri" w:hAnsi="Calibri"/>
        </w:rPr>
        <w:t xml:space="preserve"> of </w:t>
      </w:r>
      <w:r w:rsidR="00B82A66" w:rsidRPr="00C40B08">
        <w:rPr>
          <w:rFonts w:ascii="Calibri" w:hAnsi="Calibri"/>
        </w:rPr>
        <w:t>CO</w:t>
      </w:r>
      <w:r w:rsidR="00B82A66" w:rsidRPr="00C40B08">
        <w:rPr>
          <w:rFonts w:ascii="Calibri" w:hAnsi="Calibri"/>
          <w:vertAlign w:val="subscript"/>
        </w:rPr>
        <w:t xml:space="preserve">2 </w:t>
      </w:r>
      <w:r w:rsidR="00B82A66" w:rsidRPr="00C40B08">
        <w:rPr>
          <w:rFonts w:ascii="Calibri" w:hAnsi="Calibri"/>
        </w:rPr>
        <w:t xml:space="preserve">mitigation </w:t>
      </w:r>
      <w:r w:rsidR="00470BC9" w:rsidRPr="00C40B08">
        <w:rPr>
          <w:rFonts w:ascii="Calibri" w:hAnsi="Calibri"/>
        </w:rPr>
        <w:t xml:space="preserve">– </w:t>
      </w:r>
      <w:r w:rsidRPr="00C40B08">
        <w:rPr>
          <w:rFonts w:ascii="Calibri" w:hAnsi="Calibri"/>
        </w:rPr>
        <w:t>may not be</w:t>
      </w:r>
      <w:r w:rsidR="00470BC9" w:rsidRPr="00C40B08">
        <w:rPr>
          <w:rFonts w:ascii="Calibri" w:hAnsi="Calibri"/>
        </w:rPr>
        <w:t xml:space="preserve"> consistently </w:t>
      </w:r>
      <w:r w:rsidR="00E20FEC" w:rsidRPr="00C40B08">
        <w:rPr>
          <w:rFonts w:ascii="Calibri" w:hAnsi="Calibri"/>
        </w:rPr>
        <w:t>delivered</w:t>
      </w:r>
      <w:r w:rsidR="00470BC9" w:rsidRPr="00C40B08">
        <w:rPr>
          <w:rFonts w:ascii="Calibri" w:hAnsi="Calibri"/>
        </w:rPr>
        <w:t xml:space="preserve"> </w:t>
      </w:r>
      <w:r w:rsidR="00E813BE" w:rsidRPr="00C40B08">
        <w:rPr>
          <w:rFonts w:ascii="Calibri" w:hAnsi="Calibri"/>
        </w:rPr>
        <w:t xml:space="preserve">when energy </w:t>
      </w:r>
      <w:r w:rsidR="00470BC9" w:rsidRPr="00C40B08">
        <w:rPr>
          <w:rFonts w:ascii="Calibri" w:hAnsi="Calibri"/>
        </w:rPr>
        <w:t xml:space="preserve">efficiency </w:t>
      </w:r>
      <w:r w:rsidR="00E813BE" w:rsidRPr="00C40B08">
        <w:rPr>
          <w:rFonts w:ascii="Calibri" w:hAnsi="Calibri"/>
        </w:rPr>
        <w:t>is strengthened</w:t>
      </w:r>
      <w:r w:rsidR="0009760C" w:rsidRPr="00C40B08">
        <w:rPr>
          <w:rFonts w:ascii="Calibri" w:hAnsi="Calibri"/>
        </w:rPr>
        <w:t xml:space="preserve"> in</w:t>
      </w:r>
      <w:r w:rsidR="00572283" w:rsidRPr="00C40B08">
        <w:rPr>
          <w:rFonts w:ascii="Calibri" w:hAnsi="Calibri"/>
        </w:rPr>
        <w:t xml:space="preserve"> </w:t>
      </w:r>
      <w:r w:rsidR="00A7760E" w:rsidRPr="00C40B08">
        <w:rPr>
          <w:rFonts w:ascii="Calibri" w:hAnsi="Calibri"/>
        </w:rPr>
        <w:t xml:space="preserve">mass-based </w:t>
      </w:r>
      <w:r w:rsidR="006C32A9">
        <w:rPr>
          <w:rFonts w:ascii="Calibri" w:hAnsi="Calibri"/>
        </w:rPr>
        <w:t>mitigation</w:t>
      </w:r>
      <w:r w:rsidR="00A7760E" w:rsidRPr="00C40B08">
        <w:rPr>
          <w:rFonts w:ascii="Calibri" w:hAnsi="Calibri"/>
        </w:rPr>
        <w:t xml:space="preserve"> designs</w:t>
      </w:r>
      <w:r w:rsidR="00751AA1" w:rsidRPr="00C40B08">
        <w:rPr>
          <w:rFonts w:ascii="Calibri" w:hAnsi="Calibri"/>
        </w:rPr>
        <w:t xml:space="preserve"> </w:t>
      </w:r>
      <w:r w:rsidR="0009760C" w:rsidRPr="00C40B08">
        <w:rPr>
          <w:rFonts w:ascii="Calibri" w:hAnsi="Calibri"/>
        </w:rPr>
        <w:t xml:space="preserve">because </w:t>
      </w:r>
      <w:r w:rsidR="001B269C" w:rsidRPr="00C40B08">
        <w:rPr>
          <w:rFonts w:ascii="Calibri" w:hAnsi="Calibri"/>
        </w:rPr>
        <w:t>the</w:t>
      </w:r>
      <w:r w:rsidR="002D28F9" w:rsidRPr="00C40B08">
        <w:rPr>
          <w:rFonts w:ascii="Calibri" w:hAnsi="Calibri"/>
        </w:rPr>
        <w:t xml:space="preserve"> constrained demand growth</w:t>
      </w:r>
      <w:r w:rsidR="001B269C" w:rsidRPr="00C40B08">
        <w:rPr>
          <w:rFonts w:ascii="Calibri" w:hAnsi="Calibri"/>
        </w:rPr>
        <w:t xml:space="preserve"> allows more coal generation</w:t>
      </w:r>
      <w:r w:rsidR="00751AA1" w:rsidRPr="00C40B08">
        <w:rPr>
          <w:rFonts w:ascii="Calibri" w:hAnsi="Calibri"/>
        </w:rPr>
        <w:t>. I</w:t>
      </w:r>
      <w:r w:rsidR="0009760C" w:rsidRPr="00C40B08">
        <w:rPr>
          <w:rFonts w:ascii="Calibri" w:hAnsi="Calibri"/>
        </w:rPr>
        <w:t xml:space="preserve">n turn, </w:t>
      </w:r>
      <w:r w:rsidR="001B269C" w:rsidRPr="00C40B08">
        <w:rPr>
          <w:rFonts w:ascii="Calibri" w:hAnsi="Calibri"/>
        </w:rPr>
        <w:t>less natural gas and renewables generation are built</w:t>
      </w:r>
      <w:r w:rsidR="00A7760E" w:rsidRPr="00C40B08">
        <w:rPr>
          <w:rFonts w:ascii="Calibri" w:hAnsi="Calibri"/>
        </w:rPr>
        <w:t xml:space="preserve">. </w:t>
      </w:r>
      <w:r w:rsidR="004C6C54" w:rsidRPr="00C40B08">
        <w:rPr>
          <w:rFonts w:ascii="Calibri" w:hAnsi="Calibri"/>
        </w:rPr>
        <w:t>Such</w:t>
      </w:r>
      <w:r w:rsidR="00043A9F" w:rsidRPr="00C40B08">
        <w:rPr>
          <w:rFonts w:ascii="Calibri" w:hAnsi="Calibri"/>
        </w:rPr>
        <w:t xml:space="preserve"> coal plant life extension effects</w:t>
      </w:r>
      <w:r w:rsidR="00EA4EC9" w:rsidRPr="00C40B08">
        <w:rPr>
          <w:rFonts w:ascii="Calibri" w:hAnsi="Calibri"/>
        </w:rPr>
        <w:t xml:space="preserve"> can be mitigated by supplementary policies such as renewable portfolio standards or by extending the CEIP</w:t>
      </w:r>
      <w:r w:rsidR="00043A9F" w:rsidRPr="00C40B08">
        <w:rPr>
          <w:rFonts w:ascii="Calibri" w:hAnsi="Calibri"/>
        </w:rPr>
        <w:t>. In general,</w:t>
      </w:r>
      <w:r w:rsidR="001B269C" w:rsidRPr="00C40B08">
        <w:rPr>
          <w:rFonts w:ascii="Calibri" w:hAnsi="Calibri"/>
        </w:rPr>
        <w:t xml:space="preserve"> single-pollutant regulation</w:t>
      </w:r>
      <w:r w:rsidR="00043A9F" w:rsidRPr="00C40B08">
        <w:rPr>
          <w:rFonts w:ascii="Calibri" w:hAnsi="Calibri"/>
        </w:rPr>
        <w:t>s may</w:t>
      </w:r>
      <w:r w:rsidR="001B269C" w:rsidRPr="00C40B08">
        <w:rPr>
          <w:rFonts w:ascii="Calibri" w:hAnsi="Calibri"/>
        </w:rPr>
        <w:t xml:space="preserve"> not </w:t>
      </w:r>
      <w:r w:rsidR="0009760C" w:rsidRPr="00C40B08">
        <w:rPr>
          <w:rFonts w:ascii="Calibri" w:hAnsi="Calibri"/>
        </w:rPr>
        <w:t>optimize</w:t>
      </w:r>
      <w:r w:rsidR="001B269C" w:rsidRPr="00C40B08">
        <w:rPr>
          <w:rFonts w:ascii="Calibri" w:hAnsi="Calibri"/>
        </w:rPr>
        <w:t xml:space="preserve"> </w:t>
      </w:r>
      <w:r w:rsidR="00043A9F" w:rsidRPr="00C40B08">
        <w:rPr>
          <w:rFonts w:ascii="Calibri" w:hAnsi="Calibri"/>
        </w:rPr>
        <w:t>impacts across pollutants, necessitating</w:t>
      </w:r>
      <w:r w:rsidR="006A74F9" w:rsidRPr="00C40B08">
        <w:rPr>
          <w:rFonts w:ascii="Calibri" w:hAnsi="Calibri"/>
        </w:rPr>
        <w:t xml:space="preserve"> </w:t>
      </w:r>
      <w:r w:rsidR="00043A9F" w:rsidRPr="00C40B08">
        <w:rPr>
          <w:rFonts w:ascii="Calibri" w:hAnsi="Calibri"/>
        </w:rPr>
        <w:t>such additional measures.</w:t>
      </w:r>
    </w:p>
    <w:p w14:paraId="4D8DDA33" w14:textId="388B74FE" w:rsidR="004D1B3E" w:rsidRPr="00C40B08" w:rsidRDefault="006C32A9" w:rsidP="000656C9">
      <w:pPr>
        <w:spacing w:before="100" w:beforeAutospacing="1" w:after="100" w:afterAutospacing="1" w:line="276" w:lineRule="auto"/>
        <w:rPr>
          <w:rFonts w:ascii="Calibri" w:hAnsi="Calibri"/>
        </w:rPr>
      </w:pPr>
      <w:r>
        <w:rPr>
          <w:rFonts w:ascii="Calibri" w:hAnsi="Calibri"/>
        </w:rPr>
        <w:t>Overall, t</w:t>
      </w:r>
      <w:r w:rsidRPr="00C40B08">
        <w:rPr>
          <w:rFonts w:ascii="Calibri" w:hAnsi="Calibri"/>
        </w:rPr>
        <w:t xml:space="preserve">his paper demonstrates the value of </w:t>
      </w:r>
      <w:r>
        <w:rPr>
          <w:rFonts w:ascii="Calibri" w:hAnsi="Calibri"/>
        </w:rPr>
        <w:t xml:space="preserve">integrated carbon mitigation modeling where </w:t>
      </w:r>
      <w:r w:rsidRPr="00C40B08">
        <w:rPr>
          <w:rFonts w:ascii="Calibri" w:hAnsi="Calibri"/>
        </w:rPr>
        <w:t>demand-</w:t>
      </w:r>
      <w:r>
        <w:rPr>
          <w:rFonts w:ascii="Calibri" w:hAnsi="Calibri"/>
        </w:rPr>
        <w:t xml:space="preserve"> and supply-side options are co-optimized. </w:t>
      </w:r>
      <w:r w:rsidR="00921A75" w:rsidRPr="00C40B08">
        <w:rPr>
          <w:rFonts w:ascii="Calibri" w:hAnsi="Calibri"/>
        </w:rPr>
        <w:t xml:space="preserve">Looking ahead, </w:t>
      </w:r>
      <w:r w:rsidR="00283E24" w:rsidRPr="00C40B08">
        <w:rPr>
          <w:rFonts w:ascii="Calibri" w:hAnsi="Calibri"/>
        </w:rPr>
        <w:t xml:space="preserve">modeling tools </w:t>
      </w:r>
      <w:r>
        <w:rPr>
          <w:rFonts w:ascii="Calibri" w:hAnsi="Calibri"/>
        </w:rPr>
        <w:t xml:space="preserve">at the state level </w:t>
      </w:r>
      <w:r w:rsidR="00283E24" w:rsidRPr="00C40B08">
        <w:rPr>
          <w:rFonts w:ascii="Calibri" w:hAnsi="Calibri"/>
        </w:rPr>
        <w:t>are needed so that state</w:t>
      </w:r>
      <w:r>
        <w:rPr>
          <w:rFonts w:ascii="Calibri" w:hAnsi="Calibri"/>
        </w:rPr>
        <w:t xml:space="preserve"> agencie</w:t>
      </w:r>
      <w:r w:rsidR="00283E24" w:rsidRPr="00C40B08">
        <w:rPr>
          <w:rFonts w:ascii="Calibri" w:hAnsi="Calibri"/>
        </w:rPr>
        <w:t>s</w:t>
      </w:r>
      <w:r>
        <w:rPr>
          <w:rFonts w:ascii="Calibri" w:hAnsi="Calibri"/>
        </w:rPr>
        <w:t xml:space="preserve"> and stakeholders</w:t>
      </w:r>
      <w:r w:rsidR="00283E24" w:rsidRPr="00C40B08">
        <w:rPr>
          <w:rFonts w:ascii="Calibri" w:hAnsi="Calibri"/>
        </w:rPr>
        <w:t xml:space="preserve"> can more </w:t>
      </w:r>
      <w:r w:rsidR="002D28F9" w:rsidRPr="00C40B08">
        <w:rPr>
          <w:rFonts w:ascii="Calibri" w:hAnsi="Calibri"/>
        </w:rPr>
        <w:t>thoroughly</w:t>
      </w:r>
      <w:r w:rsidR="00283E24" w:rsidRPr="00C40B08">
        <w:rPr>
          <w:rFonts w:ascii="Calibri" w:hAnsi="Calibri"/>
        </w:rPr>
        <w:t xml:space="preserve"> examine the role of both demand- and supply-side</w:t>
      </w:r>
      <w:r w:rsidR="00EE0122" w:rsidRPr="00C40B08">
        <w:rPr>
          <w:rFonts w:ascii="Calibri" w:hAnsi="Calibri"/>
        </w:rPr>
        <w:t xml:space="preserve"> mitigation pathways</w:t>
      </w:r>
      <w:r w:rsidR="005356F9">
        <w:rPr>
          <w:rFonts w:ascii="Calibri" w:hAnsi="Calibri"/>
        </w:rPr>
        <w:t>. This will inform both</w:t>
      </w:r>
      <w:r w:rsidR="00813F36" w:rsidRPr="00C40B08">
        <w:rPr>
          <w:rFonts w:ascii="Calibri" w:hAnsi="Calibri"/>
        </w:rPr>
        <w:t xml:space="preserve"> </w:t>
      </w:r>
      <w:r w:rsidR="00A2216A" w:rsidRPr="00C40B08">
        <w:rPr>
          <w:rFonts w:ascii="Calibri" w:hAnsi="Calibri"/>
        </w:rPr>
        <w:t xml:space="preserve">domestic </w:t>
      </w:r>
      <w:r w:rsidR="00553ABD" w:rsidRPr="00C40B08">
        <w:rPr>
          <w:rFonts w:ascii="Calibri" w:hAnsi="Calibri"/>
        </w:rPr>
        <w:t xml:space="preserve">climate policies </w:t>
      </w:r>
      <w:r w:rsidR="00813F36" w:rsidRPr="00C40B08">
        <w:rPr>
          <w:rFonts w:ascii="Calibri" w:hAnsi="Calibri"/>
        </w:rPr>
        <w:t xml:space="preserve">and </w:t>
      </w:r>
      <w:r w:rsidR="00A2216A" w:rsidRPr="00C40B08">
        <w:rPr>
          <w:rFonts w:ascii="Calibri" w:hAnsi="Calibri"/>
        </w:rPr>
        <w:t xml:space="preserve">compliance </w:t>
      </w:r>
      <w:r w:rsidR="005356F9">
        <w:rPr>
          <w:rFonts w:ascii="Calibri" w:hAnsi="Calibri"/>
        </w:rPr>
        <w:t xml:space="preserve">strategies to meet </w:t>
      </w:r>
      <w:r w:rsidR="00813F36" w:rsidRPr="00C40B08">
        <w:rPr>
          <w:rFonts w:ascii="Calibri" w:hAnsi="Calibri"/>
        </w:rPr>
        <w:t>the Paris Accord</w:t>
      </w:r>
      <w:r w:rsidR="00BC66A8" w:rsidRPr="00C40B08">
        <w:rPr>
          <w:rFonts w:ascii="Calibri" w:hAnsi="Calibri"/>
        </w:rPr>
        <w:t xml:space="preserve">. There is </w:t>
      </w:r>
      <w:r w:rsidR="0087288C" w:rsidRPr="00C40B08">
        <w:rPr>
          <w:rFonts w:ascii="Calibri" w:hAnsi="Calibri"/>
        </w:rPr>
        <w:t xml:space="preserve">also </w:t>
      </w:r>
      <w:r w:rsidR="00BC66A8" w:rsidRPr="00C40B08">
        <w:rPr>
          <w:rFonts w:ascii="Calibri" w:hAnsi="Calibri"/>
        </w:rPr>
        <w:t xml:space="preserve">a need to develop technical reference manuals, energy-efficiency registries, and guidelines for verifying demand-side </w:t>
      </w:r>
      <w:r>
        <w:rPr>
          <w:rFonts w:ascii="Calibri" w:hAnsi="Calibri"/>
        </w:rPr>
        <w:t>carbon reductions</w:t>
      </w:r>
      <w:r w:rsidR="00BC66A8" w:rsidRPr="00C40B08">
        <w:rPr>
          <w:rFonts w:ascii="Calibri" w:hAnsi="Calibri"/>
        </w:rPr>
        <w:t xml:space="preserve">. Such resources will help reduce the perceived risk </w:t>
      </w:r>
      <w:r w:rsidR="00EE0122" w:rsidRPr="00C40B08">
        <w:rPr>
          <w:rFonts w:ascii="Calibri" w:hAnsi="Calibri"/>
        </w:rPr>
        <w:t xml:space="preserve">and enhance the certainty associated with </w:t>
      </w:r>
      <w:r w:rsidR="00BC66A8" w:rsidRPr="00C40B08">
        <w:rPr>
          <w:rFonts w:ascii="Calibri" w:hAnsi="Calibri"/>
        </w:rPr>
        <w:t xml:space="preserve">exploiting the potential of energy efficiency </w:t>
      </w:r>
      <w:r w:rsidR="00EE0122" w:rsidRPr="00C40B08">
        <w:rPr>
          <w:rFonts w:ascii="Calibri" w:hAnsi="Calibri"/>
        </w:rPr>
        <w:t>in carbon mitigation pathways</w:t>
      </w:r>
      <w:r w:rsidR="00BC66A8" w:rsidRPr="00C40B08">
        <w:rPr>
          <w:rFonts w:ascii="Calibri" w:hAnsi="Calibri"/>
        </w:rPr>
        <w:t>.</w:t>
      </w:r>
      <w:r>
        <w:rPr>
          <w:rFonts w:ascii="Calibri" w:hAnsi="Calibri"/>
        </w:rPr>
        <w:t xml:space="preserve"> </w:t>
      </w:r>
    </w:p>
    <w:p w14:paraId="6B182C2F" w14:textId="77777777" w:rsidR="000656C9" w:rsidRDefault="000656C9">
      <w:pPr>
        <w:spacing w:after="160" w:line="259" w:lineRule="auto"/>
        <w:rPr>
          <w:rFonts w:ascii="Calibri" w:hAnsi="Calibri"/>
          <w:b/>
        </w:rPr>
      </w:pPr>
      <w:r>
        <w:rPr>
          <w:rFonts w:ascii="Calibri" w:hAnsi="Calibri"/>
          <w:b/>
        </w:rPr>
        <w:br w:type="page"/>
      </w:r>
    </w:p>
    <w:p w14:paraId="31D71195" w14:textId="35D297D9" w:rsidR="005C47FE" w:rsidRPr="00C40B08" w:rsidRDefault="00951E73" w:rsidP="000656C9">
      <w:pPr>
        <w:spacing w:line="276" w:lineRule="auto"/>
        <w:outlineLvl w:val="0"/>
        <w:rPr>
          <w:rFonts w:ascii="Calibri" w:hAnsi="Calibri"/>
          <w:b/>
        </w:rPr>
      </w:pPr>
      <w:r w:rsidRPr="00C40B08">
        <w:rPr>
          <w:rFonts w:ascii="Calibri" w:hAnsi="Calibri"/>
          <w:b/>
        </w:rPr>
        <w:lastRenderedPageBreak/>
        <w:t>References</w:t>
      </w:r>
    </w:p>
    <w:p w14:paraId="276B781D"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t>Barbose</w:t>
      </w:r>
      <w:proofErr w:type="spellEnd"/>
      <w:r w:rsidRPr="00C40B08">
        <w:rPr>
          <w:rFonts w:ascii="Calibri" w:hAnsi="Calibri"/>
        </w:rPr>
        <w:t xml:space="preserve">, G. and </w:t>
      </w:r>
      <w:proofErr w:type="spellStart"/>
      <w:r w:rsidRPr="00C40B08">
        <w:rPr>
          <w:rFonts w:ascii="Calibri" w:hAnsi="Calibri"/>
        </w:rPr>
        <w:t>Darghouth</w:t>
      </w:r>
      <w:proofErr w:type="spellEnd"/>
      <w:r w:rsidRPr="00C40B08">
        <w:rPr>
          <w:rFonts w:ascii="Calibri" w:hAnsi="Calibri"/>
        </w:rPr>
        <w:t xml:space="preserve">, N., 2015. Tracking the Sun VIII: An Historical Summary of the Installed Price of Photovoltaics in the United States from 1998 to 2014. Berkeley, CA: Lawrence Berkeley </w:t>
      </w:r>
    </w:p>
    <w:p w14:paraId="60EBB58B"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Bianco, Nicholas, </w:t>
      </w:r>
      <w:proofErr w:type="spellStart"/>
      <w:r w:rsidRPr="00C40B08">
        <w:rPr>
          <w:rFonts w:ascii="Calibri" w:hAnsi="Calibri"/>
        </w:rPr>
        <w:t>Litz</w:t>
      </w:r>
      <w:proofErr w:type="spellEnd"/>
      <w:r w:rsidRPr="00C40B08">
        <w:rPr>
          <w:rFonts w:ascii="Calibri" w:hAnsi="Calibri"/>
        </w:rPr>
        <w:t xml:space="preserve">, F., Meek, K., and Gasper, R., 2013. Can the U.S. Get There from Here? Using Existing Federal Laws and State Action to Reduce Greenhouse Gas Emissions, World Resources Institute, (http://www.wri.org/publication/can-us-get-there-here). </w:t>
      </w:r>
    </w:p>
    <w:p w14:paraId="4DA07A80"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Bipartisan Policy Center, 2016. “Modeling the Evolving Power Sector and Impacts of the Final Clean Power Plan.” Available at: </w:t>
      </w:r>
      <w:hyperlink r:id="rId20" w:history="1">
        <w:r w:rsidRPr="00C40B08">
          <w:rPr>
            <w:rStyle w:val="Hyperlink"/>
            <w:rFonts w:ascii="Calibri" w:hAnsi="Calibri"/>
          </w:rPr>
          <w:t>http://cdn.bipartisanpolicy.org/wp-content/uploads/2016/06/BPC-Energy-Clean-Power-Plan-Modeling.pdf</w:t>
        </w:r>
      </w:hyperlink>
      <w:r w:rsidRPr="00C40B08">
        <w:rPr>
          <w:rFonts w:ascii="Calibri" w:hAnsi="Calibri"/>
        </w:rPr>
        <w:t>.</w:t>
      </w:r>
    </w:p>
    <w:p w14:paraId="208854A6"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t>Bolinger</w:t>
      </w:r>
      <w:proofErr w:type="spellEnd"/>
      <w:r w:rsidRPr="00C40B08">
        <w:rPr>
          <w:rFonts w:ascii="Calibri" w:hAnsi="Calibri"/>
        </w:rPr>
        <w:t xml:space="preserve">, M. </w:t>
      </w:r>
      <w:proofErr w:type="spellStart"/>
      <w:r w:rsidRPr="00C40B08">
        <w:rPr>
          <w:rFonts w:ascii="Calibri" w:hAnsi="Calibri"/>
        </w:rPr>
        <w:t>amd</w:t>
      </w:r>
      <w:proofErr w:type="spellEnd"/>
      <w:r w:rsidRPr="00C40B08">
        <w:rPr>
          <w:rFonts w:ascii="Calibri" w:hAnsi="Calibri"/>
        </w:rPr>
        <w:t xml:space="preserve"> </w:t>
      </w:r>
      <w:proofErr w:type="spellStart"/>
      <w:r w:rsidRPr="00C40B08">
        <w:rPr>
          <w:rFonts w:ascii="Calibri" w:hAnsi="Calibri"/>
        </w:rPr>
        <w:t>Seel</w:t>
      </w:r>
      <w:proofErr w:type="spellEnd"/>
      <w:r w:rsidRPr="00C40B08">
        <w:rPr>
          <w:rFonts w:ascii="Calibri" w:hAnsi="Calibri"/>
        </w:rPr>
        <w:t>, J., 2015. Utility-Scale Solar 2014: An Empirical Analysis of Project Cost, Performance, and Pricing Trends in the United States. Berkeley, CA: Lawrence Berkeley</w:t>
      </w:r>
    </w:p>
    <w:p w14:paraId="2B7AB12D" w14:textId="2A1B9C17" w:rsidR="00417EAB" w:rsidRPr="00C40B08" w:rsidRDefault="00417EAB" w:rsidP="000656C9">
      <w:pPr>
        <w:spacing w:line="276" w:lineRule="auto"/>
        <w:ind w:left="360" w:hanging="360"/>
        <w:rPr>
          <w:rFonts w:ascii="Calibri" w:hAnsi="Calibri"/>
        </w:rPr>
      </w:pPr>
      <w:r w:rsidRPr="00C40B08">
        <w:rPr>
          <w:rFonts w:ascii="Calibri" w:hAnsi="Calibri"/>
        </w:rPr>
        <w:t xml:space="preserve">Brandt, A.R., </w:t>
      </w:r>
      <w:proofErr w:type="spellStart"/>
      <w:r w:rsidRPr="00C40B08">
        <w:rPr>
          <w:rFonts w:ascii="Calibri" w:hAnsi="Calibri"/>
        </w:rPr>
        <w:t>Heath,G.A</w:t>
      </w:r>
      <w:proofErr w:type="spellEnd"/>
      <w:r w:rsidRPr="00C40B08">
        <w:rPr>
          <w:rFonts w:ascii="Calibri" w:hAnsi="Calibri"/>
        </w:rPr>
        <w:t xml:space="preserve">., </w:t>
      </w:r>
      <w:proofErr w:type="spellStart"/>
      <w:r w:rsidRPr="00C40B08">
        <w:rPr>
          <w:rFonts w:ascii="Calibri" w:hAnsi="Calibri"/>
        </w:rPr>
        <w:t>Kort,E.A</w:t>
      </w:r>
      <w:proofErr w:type="spellEnd"/>
      <w:r w:rsidRPr="00C40B08">
        <w:rPr>
          <w:rFonts w:ascii="Calibri" w:hAnsi="Calibri"/>
        </w:rPr>
        <w:t>., O</w:t>
      </w:r>
      <w:r w:rsidRPr="00C40B08">
        <w:rPr>
          <w:rFonts w:ascii="Calibri" w:hAnsi="Calibri" w:cs="Adv OT 86318 0fb+"/>
        </w:rPr>
        <w:t>’</w:t>
      </w:r>
      <w:r w:rsidRPr="00C40B08">
        <w:rPr>
          <w:rFonts w:ascii="Calibri" w:hAnsi="Calibri"/>
        </w:rPr>
        <w:t>Sullivan, F.,</w:t>
      </w:r>
      <w:proofErr w:type="spellStart"/>
      <w:r w:rsidRPr="00C40B08">
        <w:rPr>
          <w:rFonts w:ascii="Calibri" w:hAnsi="Calibri"/>
        </w:rPr>
        <w:t>Pe</w:t>
      </w:r>
      <w:r w:rsidRPr="00C40B08">
        <w:rPr>
          <w:rFonts w:ascii="Calibri" w:hAnsi="Calibri" w:cs="Adv OT 860 8a 8d 1+"/>
        </w:rPr>
        <w:t>́</w:t>
      </w:r>
      <w:r w:rsidRPr="00C40B08">
        <w:rPr>
          <w:rFonts w:ascii="Calibri" w:hAnsi="Calibri"/>
        </w:rPr>
        <w:t>tron</w:t>
      </w:r>
      <w:proofErr w:type="spellEnd"/>
      <w:r w:rsidRPr="00C40B08">
        <w:rPr>
          <w:rFonts w:ascii="Calibri" w:hAnsi="Calibri"/>
        </w:rPr>
        <w:t xml:space="preserve">, G., </w:t>
      </w:r>
      <w:proofErr w:type="spellStart"/>
      <w:r w:rsidRPr="00C40B08">
        <w:rPr>
          <w:rFonts w:ascii="Calibri" w:hAnsi="Calibri"/>
        </w:rPr>
        <w:t>Jordaan,S.M</w:t>
      </w:r>
      <w:proofErr w:type="spellEnd"/>
      <w:r w:rsidRPr="00C40B08">
        <w:rPr>
          <w:rFonts w:ascii="Calibri" w:hAnsi="Calibri"/>
        </w:rPr>
        <w:t xml:space="preserve">., </w:t>
      </w:r>
      <w:proofErr w:type="spellStart"/>
      <w:r w:rsidRPr="00C40B08">
        <w:rPr>
          <w:rFonts w:ascii="Calibri" w:hAnsi="Calibri"/>
        </w:rPr>
        <w:t>Tans,P</w:t>
      </w:r>
      <w:proofErr w:type="spellEnd"/>
      <w:r w:rsidRPr="00C40B08">
        <w:rPr>
          <w:rFonts w:ascii="Calibri" w:hAnsi="Calibri"/>
        </w:rPr>
        <w:t xml:space="preserve">., </w:t>
      </w:r>
      <w:proofErr w:type="spellStart"/>
      <w:r w:rsidRPr="00C40B08">
        <w:rPr>
          <w:rFonts w:ascii="Calibri" w:hAnsi="Calibri"/>
        </w:rPr>
        <w:t>Wilcox,J</w:t>
      </w:r>
      <w:proofErr w:type="spellEnd"/>
      <w:r w:rsidRPr="00C40B08">
        <w:rPr>
          <w:rFonts w:ascii="Calibri" w:hAnsi="Calibri"/>
        </w:rPr>
        <w:t xml:space="preserve">., </w:t>
      </w:r>
      <w:proofErr w:type="spellStart"/>
      <w:r w:rsidRPr="00C40B08">
        <w:rPr>
          <w:rFonts w:ascii="Calibri" w:hAnsi="Calibri"/>
        </w:rPr>
        <w:t>Gopstein,A.M</w:t>
      </w:r>
      <w:proofErr w:type="spellEnd"/>
      <w:r w:rsidRPr="00C40B08">
        <w:rPr>
          <w:rFonts w:ascii="Calibri" w:hAnsi="Calibri"/>
        </w:rPr>
        <w:t xml:space="preserve">., </w:t>
      </w:r>
      <w:proofErr w:type="spellStart"/>
      <w:r w:rsidRPr="00C40B08">
        <w:rPr>
          <w:rFonts w:ascii="Calibri" w:hAnsi="Calibri"/>
        </w:rPr>
        <w:t>Arent,D</w:t>
      </w:r>
      <w:proofErr w:type="spellEnd"/>
      <w:r w:rsidRPr="00C40B08">
        <w:rPr>
          <w:rFonts w:ascii="Calibri" w:hAnsi="Calibri"/>
        </w:rPr>
        <w:t xml:space="preserve">., </w:t>
      </w:r>
      <w:proofErr w:type="spellStart"/>
      <w:r w:rsidRPr="00C40B08">
        <w:rPr>
          <w:rFonts w:ascii="Calibri" w:hAnsi="Calibri"/>
        </w:rPr>
        <w:t>Wofsy,S</w:t>
      </w:r>
      <w:proofErr w:type="spellEnd"/>
      <w:r w:rsidRPr="00C40B08">
        <w:rPr>
          <w:rFonts w:ascii="Calibri" w:hAnsi="Calibri"/>
        </w:rPr>
        <w:t xml:space="preserve">., </w:t>
      </w:r>
      <w:proofErr w:type="spellStart"/>
      <w:r w:rsidRPr="00C40B08">
        <w:rPr>
          <w:rFonts w:ascii="Calibri" w:hAnsi="Calibri"/>
        </w:rPr>
        <w:t>Brown,N.J</w:t>
      </w:r>
      <w:proofErr w:type="spellEnd"/>
      <w:r w:rsidRPr="00C40B08">
        <w:rPr>
          <w:rFonts w:ascii="Calibri" w:hAnsi="Calibri"/>
        </w:rPr>
        <w:t xml:space="preserve">., </w:t>
      </w:r>
      <w:proofErr w:type="spellStart"/>
      <w:r w:rsidRPr="00C40B08">
        <w:rPr>
          <w:rFonts w:ascii="Calibri" w:hAnsi="Calibri"/>
        </w:rPr>
        <w:t>Bradley,R</w:t>
      </w:r>
      <w:proofErr w:type="spellEnd"/>
      <w:r w:rsidRPr="00C40B08">
        <w:rPr>
          <w:rFonts w:ascii="Calibri" w:hAnsi="Calibri"/>
        </w:rPr>
        <w:t xml:space="preserve">., </w:t>
      </w:r>
      <w:proofErr w:type="spellStart"/>
      <w:r w:rsidRPr="00C40B08">
        <w:rPr>
          <w:rFonts w:ascii="Calibri" w:hAnsi="Calibri"/>
        </w:rPr>
        <w:t>Stucky,G</w:t>
      </w:r>
      <w:proofErr w:type="spellEnd"/>
      <w:r w:rsidRPr="00C40B08">
        <w:rPr>
          <w:rFonts w:ascii="Calibri" w:hAnsi="Calibri"/>
        </w:rPr>
        <w:t xml:space="preserve">. D., </w:t>
      </w:r>
      <w:proofErr w:type="spellStart"/>
      <w:r w:rsidRPr="00C40B08">
        <w:rPr>
          <w:rFonts w:ascii="Calibri" w:hAnsi="Calibri"/>
        </w:rPr>
        <w:t>Eardley,D</w:t>
      </w:r>
      <w:proofErr w:type="spellEnd"/>
      <w:r w:rsidRPr="00C40B08">
        <w:rPr>
          <w:rFonts w:ascii="Calibri" w:hAnsi="Calibri"/>
        </w:rPr>
        <w:t xml:space="preserve">., </w:t>
      </w:r>
      <w:proofErr w:type="spellStart"/>
      <w:r w:rsidRPr="00C40B08">
        <w:rPr>
          <w:rFonts w:ascii="Calibri" w:hAnsi="Calibri"/>
        </w:rPr>
        <w:t>Harriss,R</w:t>
      </w:r>
      <w:proofErr w:type="spellEnd"/>
      <w:r w:rsidRPr="00C40B08">
        <w:rPr>
          <w:rFonts w:ascii="Calibri" w:hAnsi="Calibri"/>
        </w:rPr>
        <w:t xml:space="preserve">., 2014.Methane leaks from north American natural gas systems. </w:t>
      </w:r>
      <w:r w:rsidRPr="00C40B08">
        <w:rPr>
          <w:rFonts w:ascii="Calibri" w:hAnsi="Calibri"/>
          <w:i/>
        </w:rPr>
        <w:t>Science</w:t>
      </w:r>
      <w:r w:rsidRPr="00C40B08">
        <w:rPr>
          <w:rFonts w:ascii="Calibri" w:hAnsi="Calibri"/>
        </w:rPr>
        <w:t xml:space="preserve"> 343,733</w:t>
      </w:r>
      <w:r w:rsidRPr="00C40B08">
        <w:rPr>
          <w:rFonts w:ascii="Calibri" w:hAnsi="Calibri" w:cs="Adv OT 86318 0fb+"/>
        </w:rPr>
        <w:t>–</w:t>
      </w:r>
      <w:r w:rsidRPr="00C40B08">
        <w:rPr>
          <w:rFonts w:ascii="Calibri" w:hAnsi="Calibri"/>
        </w:rPr>
        <w:t xml:space="preserve">735. </w:t>
      </w:r>
    </w:p>
    <w:p w14:paraId="2924171C" w14:textId="1CEBCE90" w:rsidR="007C1BF9" w:rsidRPr="00C40B08" w:rsidRDefault="007C1BF9" w:rsidP="000656C9">
      <w:pPr>
        <w:spacing w:line="276" w:lineRule="auto"/>
        <w:ind w:left="360" w:hanging="360"/>
        <w:rPr>
          <w:rFonts w:ascii="Calibri" w:hAnsi="Calibri"/>
        </w:rPr>
      </w:pPr>
      <w:r w:rsidRPr="00C40B08">
        <w:rPr>
          <w:rFonts w:ascii="Calibri" w:hAnsi="Calibri"/>
        </w:rPr>
        <w:t>Brown, M.A., G. Kim, and A.M. Smith, 2015. Low-Carbon Electricity Pathways for the U.S. and the South: An Assessment of Costs and Options, School of Public Policy, Georgia Institute of Technology, Working Paper #86, http://www.spp.gatech.edu/publications/working-papers/low-carbon-electricity-pathways-us-and-south-assessment-costs-and</w:t>
      </w:r>
    </w:p>
    <w:p w14:paraId="6897467D"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Brown, M.A., Matt Cox, and Rodrigo Cortes, 2010. </w:t>
      </w:r>
      <w:r w:rsidRPr="00C40B08">
        <w:rPr>
          <w:rFonts w:ascii="Calibri" w:eastAsia="Helvetica" w:hAnsi="Calibri" w:cs="Helvetica"/>
        </w:rPr>
        <w:t>“Transforming Industrial Energy Efficiency,” The Bridge (Washington</w:t>
      </w:r>
      <w:r w:rsidRPr="00C40B08">
        <w:rPr>
          <w:rFonts w:ascii="Calibri" w:hAnsi="Calibri"/>
        </w:rPr>
        <w:t xml:space="preserve">, DC: National Academy of Engineering), </w:t>
      </w:r>
      <w:proofErr w:type="gramStart"/>
      <w:r w:rsidRPr="00C40B08">
        <w:rPr>
          <w:rFonts w:ascii="Calibri" w:hAnsi="Calibri"/>
        </w:rPr>
        <w:t>Fall</w:t>
      </w:r>
      <w:proofErr w:type="gramEnd"/>
      <w:r w:rsidRPr="00C40B08">
        <w:rPr>
          <w:rFonts w:ascii="Calibri" w:hAnsi="Calibri"/>
        </w:rPr>
        <w:t>, pp. 22-30.</w:t>
      </w:r>
    </w:p>
    <w:p w14:paraId="7793FB00" w14:textId="77777777" w:rsidR="00CA7036" w:rsidRPr="00C40B08" w:rsidRDefault="00CA7036" w:rsidP="000656C9">
      <w:pPr>
        <w:tabs>
          <w:tab w:val="left" w:pos="7380"/>
        </w:tabs>
        <w:spacing w:line="276" w:lineRule="auto"/>
        <w:ind w:left="360" w:hanging="360"/>
        <w:jc w:val="both"/>
        <w:rPr>
          <w:rFonts w:ascii="Calibri" w:hAnsi="Calibri" w:cs="Arial"/>
        </w:rPr>
      </w:pPr>
      <w:r w:rsidRPr="00C40B08">
        <w:rPr>
          <w:rFonts w:ascii="Calibri" w:hAnsi="Calibri" w:cs="Arial"/>
        </w:rPr>
        <w:t xml:space="preserve">Brown, Marilyn A., Paul Baer, Matt Cox, and Jae Kim. 2014. “Evaluating the Risks of Alternative Energy Policies: A Case Study of Industrial Energy Efficiency,” </w:t>
      </w:r>
      <w:r w:rsidRPr="00C40B08">
        <w:rPr>
          <w:rFonts w:ascii="Calibri" w:hAnsi="Calibri" w:cs="Arial"/>
          <w:i/>
        </w:rPr>
        <w:t xml:space="preserve">Energy Efficiency, </w:t>
      </w:r>
      <w:r w:rsidRPr="00C40B08">
        <w:rPr>
          <w:rFonts w:ascii="Calibri" w:eastAsiaTheme="minorHAnsi" w:hAnsi="Calibri" w:cs="Arial"/>
          <w:color w:val="101010"/>
        </w:rPr>
        <w:t>7(1): 1–22.</w:t>
      </w:r>
    </w:p>
    <w:p w14:paraId="0E7827E4" w14:textId="77777777" w:rsidR="007C1BF9" w:rsidRPr="00C40B08" w:rsidDel="007C1BF9" w:rsidRDefault="007C1BF9" w:rsidP="000656C9">
      <w:pPr>
        <w:spacing w:line="276" w:lineRule="auto"/>
        <w:ind w:left="360" w:hanging="360"/>
        <w:rPr>
          <w:rFonts w:ascii="Calibri" w:hAnsi="Calibri" w:cs="Arial"/>
        </w:rPr>
      </w:pPr>
      <w:r w:rsidRPr="00C40B08">
        <w:rPr>
          <w:rFonts w:ascii="Calibri" w:hAnsi="Calibri"/>
        </w:rPr>
        <w:t xml:space="preserve">Brown, M.A., </w:t>
      </w:r>
      <w:r w:rsidRPr="00C40B08">
        <w:rPr>
          <w:rFonts w:ascii="Calibri" w:hAnsi="Calibri"/>
          <w:color w:val="000000" w:themeColor="text1"/>
        </w:rPr>
        <w:t xml:space="preserve">W. Short and M. D. Levine (eds.), 2001. Scenarios for a Clean Energy Future, </w:t>
      </w:r>
      <w:r w:rsidRPr="00C40B08">
        <w:rPr>
          <w:rFonts w:ascii="Calibri" w:hAnsi="Calibri"/>
          <w:i/>
          <w:color w:val="000000" w:themeColor="text1"/>
        </w:rPr>
        <w:t xml:space="preserve">Energy Policy, </w:t>
      </w:r>
      <w:r w:rsidRPr="00C40B08">
        <w:rPr>
          <w:rFonts w:ascii="Calibri" w:hAnsi="Calibri"/>
          <w:color w:val="000000" w:themeColor="text1"/>
        </w:rPr>
        <w:t xml:space="preserve">Vol. 29, Special issue 14. </w:t>
      </w:r>
    </w:p>
    <w:p w14:paraId="329F20AF" w14:textId="77777777" w:rsidR="007C1BF9" w:rsidRPr="00C40B08" w:rsidRDefault="007C1BF9" w:rsidP="000656C9">
      <w:pPr>
        <w:spacing w:line="276" w:lineRule="auto"/>
        <w:ind w:left="360" w:hanging="360"/>
        <w:rPr>
          <w:rFonts w:ascii="Calibri" w:eastAsiaTheme="minorHAnsi" w:hAnsi="Calibri" w:cs="Arial"/>
        </w:rPr>
      </w:pPr>
      <w:r w:rsidRPr="00C40B08">
        <w:rPr>
          <w:rFonts w:ascii="Calibri" w:hAnsi="Calibri" w:cs="Arial"/>
        </w:rPr>
        <w:t xml:space="preserve">Brown, Marilyn A. </w:t>
      </w:r>
      <w:r w:rsidRPr="00C40B08">
        <w:rPr>
          <w:rFonts w:ascii="Calibri" w:eastAsiaTheme="minorHAnsi" w:hAnsi="Calibri" w:cs="Arial"/>
        </w:rPr>
        <w:t xml:space="preserve">and Yu Wang. 2017. </w:t>
      </w:r>
      <w:r w:rsidRPr="00C40B08">
        <w:rPr>
          <w:rFonts w:ascii="Calibri" w:eastAsia="Helvetica" w:hAnsi="Calibri" w:cs="Helvetica"/>
        </w:rPr>
        <w:t>“</w:t>
      </w:r>
      <w:r w:rsidRPr="00C40B08">
        <w:rPr>
          <w:rFonts w:ascii="Calibri" w:eastAsia="Calibri" w:hAnsi="Calibri" w:cs="Arial"/>
        </w:rPr>
        <w:t>Energy</w:t>
      </w:r>
      <w:r w:rsidRPr="00C40B08">
        <w:rPr>
          <w:rFonts w:ascii="Calibri" w:eastAsia="Helvetica" w:hAnsi="Calibri" w:cs="Arial"/>
        </w:rPr>
        <w:t>-</w:t>
      </w:r>
      <w:r w:rsidRPr="00C40B08">
        <w:rPr>
          <w:rFonts w:ascii="Calibri" w:eastAsia="Calibri" w:hAnsi="Calibri" w:cs="Arial"/>
        </w:rPr>
        <w:t>Efficiency</w:t>
      </w:r>
      <w:r w:rsidRPr="00C40B08">
        <w:rPr>
          <w:rFonts w:ascii="Calibri" w:eastAsia="Helvetica" w:hAnsi="Calibri" w:cs="Arial"/>
        </w:rPr>
        <w:t xml:space="preserve"> </w:t>
      </w:r>
      <w:r w:rsidRPr="00C40B08">
        <w:rPr>
          <w:rFonts w:ascii="Calibri" w:eastAsia="Calibri" w:hAnsi="Calibri" w:cs="Arial"/>
        </w:rPr>
        <w:t>Skeptics</w:t>
      </w:r>
      <w:r w:rsidRPr="00C40B08">
        <w:rPr>
          <w:rFonts w:ascii="Calibri" w:eastAsia="Helvetica" w:hAnsi="Calibri" w:cs="Arial"/>
        </w:rPr>
        <w:t xml:space="preserve"> </w:t>
      </w:r>
      <w:r w:rsidRPr="00C40B08">
        <w:rPr>
          <w:rFonts w:ascii="Calibri" w:eastAsia="Calibri" w:hAnsi="Calibri" w:cs="Arial"/>
        </w:rPr>
        <w:t>and</w:t>
      </w:r>
      <w:r w:rsidRPr="00C40B08">
        <w:rPr>
          <w:rFonts w:ascii="Calibri" w:eastAsia="Helvetica" w:hAnsi="Calibri" w:cs="Arial"/>
        </w:rPr>
        <w:t xml:space="preserve"> </w:t>
      </w:r>
      <w:r w:rsidRPr="00C40B08">
        <w:rPr>
          <w:rFonts w:ascii="Calibri" w:eastAsia="Calibri" w:hAnsi="Calibri" w:cs="Arial"/>
        </w:rPr>
        <w:t>Advocates</w:t>
      </w:r>
      <w:r w:rsidRPr="00C40B08">
        <w:rPr>
          <w:rFonts w:ascii="Calibri" w:eastAsia="Helvetica" w:hAnsi="Calibri" w:cs="Arial"/>
        </w:rPr>
        <w:t xml:space="preserve">: </w:t>
      </w:r>
      <w:r w:rsidRPr="00C40B08">
        <w:rPr>
          <w:rFonts w:ascii="Calibri" w:eastAsia="Calibri" w:hAnsi="Calibri" w:cs="Arial"/>
        </w:rPr>
        <w:t>The</w:t>
      </w:r>
      <w:r w:rsidRPr="00C40B08">
        <w:rPr>
          <w:rFonts w:ascii="Calibri" w:eastAsia="Helvetica" w:hAnsi="Calibri" w:cs="Arial"/>
        </w:rPr>
        <w:t xml:space="preserve"> </w:t>
      </w:r>
      <w:r w:rsidRPr="00C40B08">
        <w:rPr>
          <w:rFonts w:ascii="Calibri" w:eastAsiaTheme="minorHAnsi" w:hAnsi="Calibri" w:cs="Arial"/>
        </w:rPr>
        <w:t>Debate Heats Up as the Stakes Rise</w:t>
      </w:r>
      <w:proofErr w:type="gramStart"/>
      <w:r w:rsidRPr="00C40B08">
        <w:rPr>
          <w:rFonts w:ascii="Calibri" w:eastAsiaTheme="minorHAnsi" w:hAnsi="Calibri" w:cs="Arial"/>
        </w:rPr>
        <w:t>,</w:t>
      </w:r>
      <w:r w:rsidRPr="00C40B08">
        <w:rPr>
          <w:rFonts w:ascii="Calibri" w:eastAsia="Helvetica" w:hAnsi="Calibri" w:cs="Helvetica"/>
        </w:rPr>
        <w:t>“</w:t>
      </w:r>
      <w:proofErr w:type="gramEnd"/>
      <w:r w:rsidRPr="00C40B08">
        <w:rPr>
          <w:rFonts w:ascii="Calibri" w:eastAsia="Helvetica" w:hAnsi="Calibri" w:cs="Helvetica"/>
        </w:rPr>
        <w:t xml:space="preserve"> </w:t>
      </w:r>
      <w:r w:rsidRPr="00C40B08">
        <w:rPr>
          <w:rFonts w:ascii="Calibri" w:eastAsiaTheme="minorHAnsi" w:hAnsi="Calibri" w:cs="Arial"/>
          <w:i/>
        </w:rPr>
        <w:t>Energy Efficiency</w:t>
      </w:r>
      <w:r w:rsidRPr="00C40B08">
        <w:rPr>
          <w:rFonts w:ascii="Calibri" w:eastAsiaTheme="minorHAnsi" w:hAnsi="Calibri" w:cs="Arial"/>
        </w:rPr>
        <w:t xml:space="preserve">, </w:t>
      </w:r>
      <w:hyperlink r:id="rId21" w:history="1">
        <w:r w:rsidRPr="00C40B08">
          <w:rPr>
            <w:rStyle w:val="Hyperlink"/>
            <w:rFonts w:ascii="Calibri" w:hAnsi="Calibri" w:cs="Arial"/>
          </w:rPr>
          <w:t>http://link.springer.com/article/10.1007/s12053-017-9511-x</w:t>
        </w:r>
      </w:hyperlink>
      <w:r w:rsidRPr="00C40B08">
        <w:rPr>
          <w:rFonts w:ascii="Calibri" w:eastAsiaTheme="minorHAnsi" w:hAnsi="Calibri" w:cs="Arial"/>
          <w:i/>
        </w:rPr>
        <w:t>.</w:t>
      </w:r>
    </w:p>
    <w:p w14:paraId="1DB59EA9"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Brown, Marilyn A., and Yu Wang, 2015. </w:t>
      </w:r>
      <w:r w:rsidRPr="00C40B08">
        <w:rPr>
          <w:rFonts w:ascii="Calibri" w:eastAsiaTheme="minorHAnsi" w:hAnsi="Calibri"/>
          <w:i/>
        </w:rPr>
        <w:t xml:space="preserve">Green Savings: How Policies and Markets Drive Energy Efficiency, </w:t>
      </w:r>
      <w:proofErr w:type="spellStart"/>
      <w:r w:rsidRPr="00C40B08">
        <w:rPr>
          <w:rFonts w:ascii="Calibri" w:eastAsiaTheme="minorHAnsi" w:hAnsi="Calibri"/>
        </w:rPr>
        <w:t>Praeger</w:t>
      </w:r>
      <w:proofErr w:type="spellEnd"/>
      <w:r w:rsidRPr="00C40B08">
        <w:rPr>
          <w:rFonts w:ascii="Calibri" w:eastAsiaTheme="minorHAnsi" w:hAnsi="Calibri"/>
        </w:rPr>
        <w:t xml:space="preserve"> Press.</w:t>
      </w:r>
    </w:p>
    <w:p w14:paraId="5B947F00" w14:textId="77777777" w:rsidR="007C1BF9" w:rsidRPr="00C40B08" w:rsidRDefault="007C1BF9" w:rsidP="000656C9">
      <w:pPr>
        <w:spacing w:line="276" w:lineRule="auto"/>
        <w:ind w:left="360" w:hanging="360"/>
        <w:rPr>
          <w:rFonts w:ascii="Calibri" w:hAnsi="Calibri"/>
          <w:color w:val="000000"/>
        </w:rPr>
      </w:pPr>
      <w:r w:rsidRPr="00C40B08">
        <w:rPr>
          <w:rFonts w:ascii="Calibri" w:hAnsi="Calibri"/>
        </w:rPr>
        <w:t>Brown, Marilyn A.</w:t>
      </w:r>
      <w:proofErr w:type="gramStart"/>
      <w:r w:rsidRPr="00C40B08">
        <w:rPr>
          <w:rFonts w:ascii="Calibri" w:hAnsi="Calibri"/>
        </w:rPr>
        <w:t>,</w:t>
      </w:r>
      <w:r w:rsidRPr="00C40B08" w:rsidDel="00EE72F8">
        <w:rPr>
          <w:rFonts w:ascii="Calibri" w:hAnsi="Calibri"/>
        </w:rPr>
        <w:t>;</w:t>
      </w:r>
      <w:proofErr w:type="gramEnd"/>
      <w:r w:rsidRPr="00C40B08">
        <w:rPr>
          <w:rFonts w:ascii="Calibri" w:hAnsi="Calibri"/>
        </w:rPr>
        <w:t xml:space="preserve"> </w:t>
      </w:r>
      <w:r w:rsidRPr="00C40B08">
        <w:rPr>
          <w:rFonts w:ascii="Calibri" w:hAnsi="Calibri"/>
          <w:color w:val="000000"/>
        </w:rPr>
        <w:t>Mark D. Levine,</w:t>
      </w:r>
      <w:r w:rsidRPr="00C40B08" w:rsidDel="00EE72F8">
        <w:rPr>
          <w:rFonts w:ascii="Calibri" w:hAnsi="Calibri"/>
          <w:color w:val="000000"/>
        </w:rPr>
        <w:t>;</w:t>
      </w:r>
      <w:r w:rsidRPr="00C40B08">
        <w:rPr>
          <w:rFonts w:ascii="Calibri" w:hAnsi="Calibri"/>
          <w:color w:val="000000"/>
        </w:rPr>
        <w:t xml:space="preserve"> Walter Short, </w:t>
      </w:r>
      <w:proofErr w:type="spellStart"/>
      <w:r w:rsidRPr="00C40B08">
        <w:rPr>
          <w:rFonts w:ascii="Calibri" w:hAnsi="Calibri"/>
          <w:color w:val="000000"/>
        </w:rPr>
        <w:t>and</w:t>
      </w:r>
      <w:r w:rsidRPr="00C40B08" w:rsidDel="00EE72F8">
        <w:rPr>
          <w:rFonts w:ascii="Calibri" w:hAnsi="Calibri"/>
          <w:color w:val="000000"/>
        </w:rPr>
        <w:t>t</w:t>
      </w:r>
      <w:proofErr w:type="spellEnd"/>
      <w:r w:rsidRPr="00C40B08" w:rsidDel="00EE72F8">
        <w:rPr>
          <w:rFonts w:ascii="Calibri" w:hAnsi="Calibri"/>
          <w:color w:val="000000"/>
        </w:rPr>
        <w:t>;</w:t>
      </w:r>
      <w:r w:rsidRPr="00C40B08">
        <w:rPr>
          <w:rFonts w:ascii="Calibri" w:hAnsi="Calibri"/>
          <w:color w:val="000000"/>
        </w:rPr>
        <w:t xml:space="preserve"> Jonathan G. </w:t>
      </w:r>
      <w:proofErr w:type="spellStart"/>
      <w:r w:rsidRPr="00C40B08">
        <w:rPr>
          <w:rFonts w:ascii="Calibri" w:hAnsi="Calibri"/>
          <w:color w:val="000000"/>
        </w:rPr>
        <w:t>Koomey</w:t>
      </w:r>
      <w:proofErr w:type="spellEnd"/>
      <w:r w:rsidRPr="00C40B08">
        <w:rPr>
          <w:rFonts w:ascii="Calibri" w:hAnsi="Calibri"/>
          <w:color w:val="000000"/>
        </w:rPr>
        <w:t xml:space="preserve">, 2001.  </w:t>
      </w:r>
      <w:r w:rsidRPr="00C40B08">
        <w:rPr>
          <w:rFonts w:ascii="Calibri" w:eastAsia="Helvetica" w:hAnsi="Calibri" w:cs="Helvetica"/>
          <w:color w:val="000000"/>
        </w:rPr>
        <w:t xml:space="preserve">“Scenarios for a Clean Energy Future,” </w:t>
      </w:r>
      <w:r w:rsidRPr="00C40B08">
        <w:rPr>
          <w:rFonts w:ascii="Calibri" w:hAnsi="Calibri"/>
          <w:i/>
          <w:color w:val="000000"/>
        </w:rPr>
        <w:t xml:space="preserve">Energy Policy, </w:t>
      </w:r>
      <w:r w:rsidRPr="00C40B08">
        <w:rPr>
          <w:rFonts w:ascii="Calibri" w:hAnsi="Calibri"/>
          <w:color w:val="000000"/>
        </w:rPr>
        <w:t>2001, 29 (14): 1179-1196.</w:t>
      </w:r>
    </w:p>
    <w:p w14:paraId="6AD91962"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t>Burtraw</w:t>
      </w:r>
      <w:proofErr w:type="spellEnd"/>
      <w:r w:rsidRPr="00C40B08">
        <w:rPr>
          <w:rFonts w:ascii="Calibri" w:hAnsi="Calibri"/>
        </w:rPr>
        <w:t>, D., J. Linn, K. Palmer, and A. Paul, 2016. “Approaches to Address Potential CO</w:t>
      </w:r>
      <w:r w:rsidRPr="00C40B08">
        <w:rPr>
          <w:rFonts w:ascii="Calibri" w:hAnsi="Calibri"/>
          <w:vertAlign w:val="subscript"/>
        </w:rPr>
        <w:t>2</w:t>
      </w:r>
      <w:r w:rsidRPr="00C40B08">
        <w:rPr>
          <w:rFonts w:ascii="Calibri" w:hAnsi="Calibri"/>
        </w:rPr>
        <w:t xml:space="preserve"> Emissions Leakage to New Sources under the Clean Power Plan.” Resources for the Future. http://www.rff.org/research/publications/approaches-address-potential-co2-emissions-leakage-newsources-under-clean. </w:t>
      </w:r>
    </w:p>
    <w:p w14:paraId="25AFC482"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lastRenderedPageBreak/>
        <w:t>Burtraw</w:t>
      </w:r>
      <w:proofErr w:type="spellEnd"/>
      <w:r w:rsidRPr="00C40B08">
        <w:rPr>
          <w:rFonts w:ascii="Calibri" w:hAnsi="Calibri"/>
        </w:rPr>
        <w:t xml:space="preserve">, D., </w:t>
      </w:r>
      <w:proofErr w:type="spellStart"/>
      <w:r w:rsidRPr="00C40B08">
        <w:rPr>
          <w:rFonts w:ascii="Calibri" w:hAnsi="Calibri"/>
        </w:rPr>
        <w:t>Woerman</w:t>
      </w:r>
      <w:proofErr w:type="spellEnd"/>
      <w:r w:rsidRPr="00C40B08">
        <w:rPr>
          <w:rFonts w:ascii="Calibri" w:hAnsi="Calibri"/>
        </w:rPr>
        <w:t xml:space="preserve">, M., &amp; Paul, A., 2012. Retail electricity price savings from compliance flexibility in GHG standards for stationary sources. Energy Policy, 42, 67–77. </w:t>
      </w:r>
    </w:p>
    <w:p w14:paraId="1B1EA0BB" w14:textId="77777777" w:rsidR="007C1BF9" w:rsidRPr="00C40B08" w:rsidRDefault="007C1BF9" w:rsidP="000656C9">
      <w:pPr>
        <w:spacing w:line="276" w:lineRule="auto"/>
        <w:ind w:left="360" w:hanging="360"/>
        <w:rPr>
          <w:rFonts w:ascii="Calibri" w:hAnsi="Calibri"/>
          <w:color w:val="000000"/>
        </w:rPr>
      </w:pPr>
      <w:r w:rsidRPr="00C40B08">
        <w:rPr>
          <w:rFonts w:ascii="Calibri" w:hAnsi="Calibri"/>
          <w:color w:val="000000"/>
        </w:rPr>
        <w:t xml:space="preserve">Bushnell, James, Stephen P. Holland, Jonathan E. Hughes and Christopher R.  </w:t>
      </w:r>
      <w:proofErr w:type="spellStart"/>
      <w:r w:rsidRPr="00C40B08">
        <w:rPr>
          <w:rFonts w:ascii="Calibri" w:hAnsi="Calibri"/>
          <w:color w:val="000000"/>
        </w:rPr>
        <w:t>Knittel</w:t>
      </w:r>
      <w:proofErr w:type="spellEnd"/>
      <w:r w:rsidRPr="00C40B08">
        <w:rPr>
          <w:rFonts w:ascii="Calibri" w:hAnsi="Calibri"/>
          <w:color w:val="000000"/>
        </w:rPr>
        <w:t xml:space="preserve">. "Strategic Policy Choice in State Level Regulation: The EPA's </w:t>
      </w:r>
      <w:proofErr w:type="gramStart"/>
      <w:r w:rsidRPr="00C40B08">
        <w:rPr>
          <w:rFonts w:ascii="Calibri" w:hAnsi="Calibri"/>
          <w:color w:val="000000"/>
        </w:rPr>
        <w:t>Clean  Power</w:t>
      </w:r>
      <w:proofErr w:type="gramEnd"/>
      <w:r w:rsidRPr="00C40B08">
        <w:rPr>
          <w:rFonts w:ascii="Calibri" w:hAnsi="Calibri"/>
          <w:color w:val="000000"/>
        </w:rPr>
        <w:t xml:space="preserve"> Plan" Forthcoming at the American Economic Journal: Economic Policy.</w:t>
      </w:r>
    </w:p>
    <w:p w14:paraId="4671E07A" w14:textId="5655F09A" w:rsidR="00FF4774" w:rsidRDefault="00FF4774" w:rsidP="000656C9">
      <w:pPr>
        <w:spacing w:line="276" w:lineRule="auto"/>
        <w:ind w:left="360" w:hanging="360"/>
        <w:rPr>
          <w:rFonts w:ascii="Calibri" w:hAnsi="Calibri"/>
        </w:rPr>
      </w:pPr>
      <w:r>
        <w:rPr>
          <w:rFonts w:ascii="Calibri" w:hAnsi="Calibri"/>
        </w:rPr>
        <w:t xml:space="preserve">Marc Chesney, J. </w:t>
      </w:r>
      <w:proofErr w:type="spellStart"/>
      <w:r>
        <w:rPr>
          <w:rFonts w:ascii="Calibri" w:hAnsi="Calibri"/>
        </w:rPr>
        <w:t>Gheyssens</w:t>
      </w:r>
      <w:proofErr w:type="spellEnd"/>
      <w:r>
        <w:rPr>
          <w:rFonts w:ascii="Calibri" w:hAnsi="Calibri"/>
        </w:rPr>
        <w:t xml:space="preserve">, A.C. Pana, and L. </w:t>
      </w:r>
      <w:proofErr w:type="spellStart"/>
      <w:r>
        <w:rPr>
          <w:rFonts w:ascii="Calibri" w:hAnsi="Calibri"/>
        </w:rPr>
        <w:t>Taschini</w:t>
      </w:r>
      <w:proofErr w:type="spellEnd"/>
      <w:r>
        <w:rPr>
          <w:rFonts w:ascii="Calibri" w:hAnsi="Calibri"/>
        </w:rPr>
        <w:t xml:space="preserve">. </w:t>
      </w:r>
      <w:r w:rsidRPr="004C2777">
        <w:rPr>
          <w:rFonts w:ascii="Calibri" w:hAnsi="Calibri"/>
        </w:rPr>
        <w:t>2016</w:t>
      </w:r>
      <w:r>
        <w:rPr>
          <w:rFonts w:ascii="Calibri" w:hAnsi="Calibri"/>
        </w:rPr>
        <w:t xml:space="preserve">. </w:t>
      </w:r>
      <w:r>
        <w:rPr>
          <w:rFonts w:ascii="Calibri" w:hAnsi="Calibri"/>
          <w:i/>
        </w:rPr>
        <w:t xml:space="preserve">Environmental Finance and Investments, </w:t>
      </w:r>
      <w:r>
        <w:rPr>
          <w:rFonts w:ascii="Calibri" w:hAnsi="Calibri"/>
        </w:rPr>
        <w:t>Springer, Second edition</w:t>
      </w:r>
      <w:r>
        <w:rPr>
          <w:rFonts w:ascii="Calibri" w:hAnsi="Calibri"/>
          <w:i/>
        </w:rPr>
        <w:t>.</w:t>
      </w:r>
    </w:p>
    <w:p w14:paraId="53BD60EC" w14:textId="19BD74AD" w:rsidR="007C1BF9" w:rsidRPr="00C40B08" w:rsidRDefault="007C1BF9" w:rsidP="000656C9">
      <w:pPr>
        <w:spacing w:line="276" w:lineRule="auto"/>
        <w:ind w:left="360" w:hanging="360"/>
        <w:rPr>
          <w:rFonts w:ascii="Calibri" w:hAnsi="Calibri"/>
          <w:color w:val="000000"/>
        </w:rPr>
      </w:pPr>
      <w:r w:rsidRPr="00C40B08">
        <w:rPr>
          <w:rFonts w:ascii="Calibri" w:hAnsi="Calibri"/>
          <w:color w:val="000000"/>
        </w:rPr>
        <w:t xml:space="preserve">Clean Air Task Force (CATF), 2014. Comments of Clean Air Task Force on the Clean Power Plan </w:t>
      </w:r>
      <w:hyperlink r:id="rId22" w:history="1">
        <w:r w:rsidRPr="00C40B08">
          <w:rPr>
            <w:rStyle w:val="Hyperlink"/>
            <w:rFonts w:ascii="Calibri" w:hAnsi="Calibri"/>
          </w:rPr>
          <w:t>http://www.catf.us/resources/filings/EGU_GHG_NSPS_Rule/CATF%20CPP%20Comments.pdf</w:t>
        </w:r>
      </w:hyperlink>
    </w:p>
    <w:p w14:paraId="568BCF9A" w14:textId="77777777" w:rsidR="007C1BF9" w:rsidRPr="00C40B08" w:rsidRDefault="007C1BF9" w:rsidP="000656C9">
      <w:pPr>
        <w:spacing w:line="276" w:lineRule="auto"/>
        <w:ind w:left="360" w:hanging="360"/>
        <w:rPr>
          <w:rFonts w:ascii="Calibri" w:hAnsi="Calibri"/>
        </w:rPr>
      </w:pPr>
      <w:r w:rsidRPr="00C40B08">
        <w:rPr>
          <w:rFonts w:ascii="Calibri" w:hAnsi="Calibri"/>
          <w:color w:val="000000"/>
        </w:rPr>
        <w:t xml:space="preserve">Cox, Matt, Marilyn A. Brown, and </w:t>
      </w:r>
      <w:proofErr w:type="spellStart"/>
      <w:r w:rsidRPr="00C40B08">
        <w:rPr>
          <w:rFonts w:ascii="Calibri" w:hAnsi="Calibri"/>
          <w:color w:val="000000"/>
        </w:rPr>
        <w:t>Xiaojing</w:t>
      </w:r>
      <w:proofErr w:type="spellEnd"/>
      <w:r w:rsidRPr="00C40B08">
        <w:rPr>
          <w:rFonts w:ascii="Calibri" w:hAnsi="Calibri"/>
          <w:color w:val="000000"/>
        </w:rPr>
        <w:t xml:space="preserve"> Sun, 2013. “Energy Benchmarking of Commercial Buildings: A Low-cost Pathway for Urban Sustainability,” </w:t>
      </w:r>
      <w:r w:rsidRPr="00C40B08">
        <w:rPr>
          <w:rFonts w:ascii="Calibri" w:hAnsi="Calibri"/>
          <w:i/>
          <w:color w:val="000000"/>
        </w:rPr>
        <w:t xml:space="preserve">Environmental Research Letters, </w:t>
      </w:r>
      <w:r w:rsidRPr="00C40B08">
        <w:rPr>
          <w:rFonts w:ascii="Calibri" w:hAnsi="Calibri"/>
          <w:color w:val="000000"/>
        </w:rPr>
        <w:t xml:space="preserve">Vol. 8 (3), pp. 1-12, </w:t>
      </w:r>
      <w:hyperlink r:id="rId23" w:history="1">
        <w:r w:rsidRPr="00C40B08">
          <w:rPr>
            <w:rStyle w:val="Hyperlink"/>
            <w:rFonts w:ascii="Calibri" w:hAnsi="Calibri"/>
          </w:rPr>
          <w:t>http://iopscience.iop.org/1748-9326/8/3/035018/pdf/1748-9326_8_3_035018.pdf</w:t>
        </w:r>
      </w:hyperlink>
      <w:r w:rsidRPr="00C40B08">
        <w:rPr>
          <w:rFonts w:ascii="Calibri" w:hAnsi="Calibri"/>
          <w:color w:val="000000"/>
        </w:rPr>
        <w:t>.</w:t>
      </w:r>
    </w:p>
    <w:p w14:paraId="2368EA43" w14:textId="77777777" w:rsidR="005540E6" w:rsidRPr="00C40B08" w:rsidRDefault="005540E6" w:rsidP="000656C9">
      <w:pPr>
        <w:shd w:val="clear" w:color="auto" w:fill="FFFFFF"/>
        <w:spacing w:line="276" w:lineRule="auto"/>
        <w:ind w:left="360" w:hanging="360"/>
        <w:rPr>
          <w:rFonts w:ascii="Calibri" w:eastAsiaTheme="minorHAnsi" w:hAnsi="Calibri"/>
          <w:color w:val="000000"/>
        </w:rPr>
      </w:pPr>
      <w:proofErr w:type="spellStart"/>
      <w:r w:rsidRPr="00C40B08">
        <w:rPr>
          <w:rFonts w:ascii="Calibri" w:eastAsiaTheme="minorHAnsi" w:hAnsi="Calibri"/>
          <w:color w:val="000000"/>
        </w:rPr>
        <w:t>Cullenward</w:t>
      </w:r>
      <w:proofErr w:type="spellEnd"/>
      <w:r w:rsidRPr="00C40B08">
        <w:rPr>
          <w:rFonts w:ascii="Calibri" w:eastAsiaTheme="minorHAnsi" w:hAnsi="Calibri"/>
          <w:color w:val="000000"/>
        </w:rPr>
        <w:t xml:space="preserve">, D., Wilkerson, J. T., </w:t>
      </w:r>
      <w:proofErr w:type="spellStart"/>
      <w:r w:rsidRPr="00C40B08">
        <w:rPr>
          <w:rFonts w:ascii="Calibri" w:eastAsiaTheme="minorHAnsi" w:hAnsi="Calibri"/>
          <w:color w:val="000000"/>
        </w:rPr>
        <w:t>Wara</w:t>
      </w:r>
      <w:proofErr w:type="spellEnd"/>
      <w:r w:rsidRPr="00C40B08">
        <w:rPr>
          <w:rFonts w:ascii="Calibri" w:eastAsiaTheme="minorHAnsi" w:hAnsi="Calibri"/>
          <w:color w:val="000000"/>
        </w:rPr>
        <w:t xml:space="preserve">, M., </w:t>
      </w:r>
      <w:proofErr w:type="spellStart"/>
      <w:r w:rsidRPr="00C40B08">
        <w:rPr>
          <w:rFonts w:ascii="Calibri" w:eastAsiaTheme="minorHAnsi" w:hAnsi="Calibri"/>
          <w:color w:val="000000"/>
        </w:rPr>
        <w:t>Weyant</w:t>
      </w:r>
      <w:proofErr w:type="spellEnd"/>
      <w:r w:rsidRPr="00C40B08">
        <w:rPr>
          <w:rFonts w:ascii="Calibri" w:eastAsiaTheme="minorHAnsi" w:hAnsi="Calibri"/>
          <w:color w:val="000000"/>
        </w:rPr>
        <w:t xml:space="preserve">, J. P. 2016. Dynamically estimating the distributional impacts of US climate policy with NEMS: A case study of the Climate Protection Act of 2013. </w:t>
      </w:r>
      <w:r w:rsidRPr="00C40B08">
        <w:rPr>
          <w:rFonts w:ascii="Calibri" w:eastAsiaTheme="minorHAnsi" w:hAnsi="Calibri"/>
          <w:i/>
          <w:color w:val="000000"/>
        </w:rPr>
        <w:t>Energy Economics,</w:t>
      </w:r>
      <w:r w:rsidRPr="00C40B08">
        <w:rPr>
          <w:rFonts w:ascii="Calibri" w:eastAsiaTheme="minorHAnsi" w:hAnsi="Calibri"/>
          <w:color w:val="000000"/>
        </w:rPr>
        <w:t xml:space="preserve"> 55, 303-318.</w:t>
      </w:r>
    </w:p>
    <w:p w14:paraId="4CA83B75" w14:textId="77777777" w:rsidR="007C1BF9" w:rsidRPr="00C40B08" w:rsidRDefault="007C1BF9" w:rsidP="000656C9">
      <w:pPr>
        <w:spacing w:line="276" w:lineRule="auto"/>
        <w:ind w:left="360" w:hanging="360"/>
        <w:rPr>
          <w:rFonts w:ascii="Calibri" w:hAnsi="Calibri"/>
        </w:rPr>
      </w:pPr>
      <w:r w:rsidRPr="00C40B08">
        <w:rPr>
          <w:rFonts w:ascii="Calibri" w:hAnsi="Calibri"/>
        </w:rPr>
        <w:t>Eldridge, Maggie, et al., 2008. State-level Energy Efficiency Analysis: Goals, Methods, and Lessons Learned (Washington, DC: American Council for an Energy-Efficient Economy, http</w:t>
      </w:r>
      <w:proofErr w:type="gramStart"/>
      <w:r w:rsidRPr="00C40B08">
        <w:rPr>
          <w:rFonts w:ascii="Calibri" w:hAnsi="Calibri"/>
        </w:rPr>
        <w:t>:/</w:t>
      </w:r>
      <w:proofErr w:type="gramEnd"/>
      <w:r w:rsidRPr="00C40B08">
        <w:rPr>
          <w:rFonts w:ascii="Calibri" w:hAnsi="Calibri"/>
        </w:rPr>
        <w:t xml:space="preserve">/aceee.org/files/proceedings/2008/data/papers/8_468. pdf. </w:t>
      </w:r>
    </w:p>
    <w:p w14:paraId="6CFDE2A6"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Electric Power Research Institute, 2016. “State-Level Modeling of Clean Power Plan Compliance Pathways with EPRI’s US-REGEN Model.” Available at: </w:t>
      </w:r>
      <w:hyperlink r:id="rId24" w:history="1">
        <w:r w:rsidRPr="00C40B08">
          <w:rPr>
            <w:rStyle w:val="Hyperlink"/>
            <w:rFonts w:ascii="Calibri" w:hAnsi="Calibri"/>
          </w:rPr>
          <w:t>http://www.rff.org/files/document/file/160211_CPPModelingForStrategicInsights_Niemeyer_0.pdf</w:t>
        </w:r>
      </w:hyperlink>
      <w:r w:rsidRPr="00C40B08">
        <w:rPr>
          <w:rFonts w:ascii="Calibri" w:hAnsi="Calibri"/>
        </w:rPr>
        <w:t>.</w:t>
      </w:r>
    </w:p>
    <w:p w14:paraId="33A4D207" w14:textId="77777777" w:rsidR="006E4151" w:rsidRDefault="006E4151" w:rsidP="000656C9">
      <w:pPr>
        <w:spacing w:line="276" w:lineRule="auto"/>
        <w:ind w:left="360" w:hanging="360"/>
        <w:rPr>
          <w:rFonts w:ascii="Calibri" w:hAnsi="Calibri"/>
        </w:rPr>
      </w:pPr>
      <w:proofErr w:type="spellStart"/>
      <w:r w:rsidRPr="00C40B08">
        <w:rPr>
          <w:rFonts w:ascii="Calibri" w:hAnsi="Calibri"/>
        </w:rPr>
        <w:t>Espey</w:t>
      </w:r>
      <w:proofErr w:type="spellEnd"/>
      <w:r w:rsidRPr="00C40B08">
        <w:rPr>
          <w:rFonts w:ascii="Calibri" w:hAnsi="Calibri"/>
        </w:rPr>
        <w:t xml:space="preserve">, J. A., &amp; </w:t>
      </w:r>
      <w:proofErr w:type="spellStart"/>
      <w:r w:rsidRPr="00C40B08">
        <w:rPr>
          <w:rFonts w:ascii="Calibri" w:hAnsi="Calibri"/>
        </w:rPr>
        <w:t>Espey</w:t>
      </w:r>
      <w:proofErr w:type="spellEnd"/>
      <w:r w:rsidRPr="00C40B08">
        <w:rPr>
          <w:rFonts w:ascii="Calibri" w:hAnsi="Calibri"/>
        </w:rPr>
        <w:t xml:space="preserve">, M. (2004). Turning on the lights: A meta-analysis of residential electricity demand elasticities. </w:t>
      </w:r>
      <w:r w:rsidRPr="00C40B08">
        <w:rPr>
          <w:rFonts w:ascii="Calibri" w:hAnsi="Calibri"/>
          <w:i/>
          <w:iCs/>
        </w:rPr>
        <w:t>Journal of Agricultural and Applied Economics, 36</w:t>
      </w:r>
      <w:r w:rsidRPr="00C40B08">
        <w:rPr>
          <w:rFonts w:ascii="Calibri" w:hAnsi="Calibri"/>
        </w:rPr>
        <w:t xml:space="preserve">(1), 65-82. </w:t>
      </w:r>
    </w:p>
    <w:p w14:paraId="369C2EC6" w14:textId="3F0B649F" w:rsidR="00A81E7B" w:rsidRPr="00C40B08" w:rsidRDefault="00A81E7B" w:rsidP="000656C9">
      <w:pPr>
        <w:spacing w:line="276" w:lineRule="auto"/>
        <w:ind w:left="360" w:hanging="360"/>
        <w:rPr>
          <w:rFonts w:ascii="Calibri" w:hAnsi="Calibri"/>
        </w:rPr>
      </w:pPr>
      <w:r>
        <w:rPr>
          <w:rFonts w:ascii="Calibri" w:hAnsi="Calibri"/>
        </w:rPr>
        <w:t xml:space="preserve">Feng, K., S.J. Davis, L. Sun, and K. </w:t>
      </w:r>
      <w:proofErr w:type="spellStart"/>
      <w:r>
        <w:rPr>
          <w:rFonts w:ascii="Calibri" w:hAnsi="Calibri"/>
        </w:rPr>
        <w:t>Hubacek</w:t>
      </w:r>
      <w:proofErr w:type="spellEnd"/>
      <w:r>
        <w:rPr>
          <w:rFonts w:ascii="Calibri" w:hAnsi="Calibri"/>
        </w:rPr>
        <w:t xml:space="preserve">. 2015. “Drivers of US Co2 Emissions 1997-2013,” </w:t>
      </w:r>
      <w:r w:rsidRPr="00A81E7B">
        <w:rPr>
          <w:rFonts w:ascii="Calibri" w:hAnsi="Calibri"/>
          <w:i/>
        </w:rPr>
        <w:t>Nature Communications,</w:t>
      </w:r>
      <w:r>
        <w:rPr>
          <w:rFonts w:ascii="Calibri" w:hAnsi="Calibri"/>
        </w:rPr>
        <w:t xml:space="preserve"> 6, </w:t>
      </w:r>
      <w:r w:rsidRPr="00A81E7B">
        <w:rPr>
          <w:rFonts w:ascii="Calibri" w:hAnsi="Calibri"/>
        </w:rPr>
        <w:t>http://www.nature.com/articles/ncomms8714</w:t>
      </w:r>
      <w:r>
        <w:rPr>
          <w:rFonts w:ascii="Calibri" w:hAnsi="Calibri"/>
        </w:rPr>
        <w:t>.</w:t>
      </w:r>
    </w:p>
    <w:p w14:paraId="62ECF0C4" w14:textId="551A1AA7" w:rsidR="007C1BF9" w:rsidRPr="00C40B08" w:rsidRDefault="007C1BF9" w:rsidP="000656C9">
      <w:pPr>
        <w:spacing w:line="276" w:lineRule="auto"/>
        <w:ind w:left="360" w:hanging="360"/>
        <w:rPr>
          <w:rFonts w:ascii="Calibri" w:hAnsi="Calibri"/>
        </w:rPr>
      </w:pPr>
      <w:r w:rsidRPr="00C40B08">
        <w:rPr>
          <w:rFonts w:ascii="Calibri" w:hAnsi="Calibri"/>
        </w:rPr>
        <w:t>GTM/SEIA, 2015. Solar Market Insight Report 2015 Q1, Q2.</w:t>
      </w:r>
    </w:p>
    <w:p w14:paraId="3CC55E5A" w14:textId="69A4E89B" w:rsidR="00EA5319" w:rsidRPr="00C40B08" w:rsidRDefault="007C1BF9" w:rsidP="000656C9">
      <w:pPr>
        <w:spacing w:line="276" w:lineRule="auto"/>
        <w:ind w:left="360" w:hanging="360"/>
        <w:rPr>
          <w:rFonts w:ascii="Calibri" w:hAnsi="Calibri"/>
        </w:rPr>
      </w:pPr>
      <w:proofErr w:type="spellStart"/>
      <w:r w:rsidRPr="00C40B08">
        <w:rPr>
          <w:rFonts w:ascii="Calibri" w:hAnsi="Calibri"/>
        </w:rPr>
        <w:t>Hausfather</w:t>
      </w:r>
      <w:proofErr w:type="spellEnd"/>
      <w:r w:rsidR="00EA5319" w:rsidRPr="00C40B08">
        <w:rPr>
          <w:rFonts w:ascii="Calibri" w:hAnsi="Calibri"/>
        </w:rPr>
        <w:t>, Zeke, 2015. Bounding the climate viability of natural gas as a bridge fuel to displace coal. Energy Policy 86 (2015) 286–294. http://dx.doi.org/10.1016/j.enpol.2015.07.012.</w:t>
      </w:r>
    </w:p>
    <w:p w14:paraId="36DD6FC9" w14:textId="7AC17FE7" w:rsidR="007C1BF9" w:rsidRPr="00C40B08" w:rsidRDefault="007C1BF9" w:rsidP="000656C9">
      <w:pPr>
        <w:spacing w:line="276" w:lineRule="auto"/>
        <w:ind w:left="360" w:hanging="360"/>
        <w:rPr>
          <w:rFonts w:ascii="Calibri" w:hAnsi="Calibri"/>
        </w:rPr>
      </w:pPr>
      <w:proofErr w:type="spellStart"/>
      <w:r w:rsidRPr="00C40B08">
        <w:rPr>
          <w:rFonts w:ascii="Calibri" w:hAnsi="Calibri"/>
        </w:rPr>
        <w:t>Hausker</w:t>
      </w:r>
      <w:proofErr w:type="spellEnd"/>
      <w:r w:rsidRPr="00C40B08">
        <w:rPr>
          <w:rFonts w:ascii="Calibri" w:hAnsi="Calibri"/>
        </w:rPr>
        <w:t xml:space="preserve">, Karl, Meek, </w:t>
      </w:r>
      <w:proofErr w:type="gramStart"/>
      <w:r w:rsidRPr="00C40B08">
        <w:rPr>
          <w:rFonts w:ascii="Calibri" w:hAnsi="Calibri"/>
        </w:rPr>
        <w:t>K..</w:t>
      </w:r>
      <w:proofErr w:type="gramEnd"/>
      <w:r w:rsidRPr="00C40B08">
        <w:rPr>
          <w:rFonts w:ascii="Calibri" w:hAnsi="Calibri"/>
        </w:rPr>
        <w:t xml:space="preserve"> Gasper, R., Alden, N., and </w:t>
      </w:r>
      <w:proofErr w:type="spellStart"/>
      <w:r w:rsidRPr="00C40B08">
        <w:rPr>
          <w:rFonts w:ascii="Calibri" w:hAnsi="Calibri"/>
        </w:rPr>
        <w:t>Obeiter</w:t>
      </w:r>
      <w:proofErr w:type="spellEnd"/>
      <w:r w:rsidRPr="00C40B08">
        <w:rPr>
          <w:rFonts w:ascii="Calibri" w:hAnsi="Calibri"/>
        </w:rPr>
        <w:t xml:space="preserve">, M., 2015. Delivering on the U.S. Climate Commitment: A 10-Point Plan </w:t>
      </w:r>
      <w:proofErr w:type="spellStart"/>
      <w:r w:rsidRPr="00C40B08">
        <w:rPr>
          <w:rFonts w:ascii="Calibri" w:hAnsi="Calibri"/>
        </w:rPr>
        <w:t>Towward</w:t>
      </w:r>
      <w:proofErr w:type="spellEnd"/>
      <w:r w:rsidRPr="00C40B08">
        <w:rPr>
          <w:rFonts w:ascii="Calibri" w:hAnsi="Calibri"/>
        </w:rPr>
        <w:t xml:space="preserve"> a Low-Carbon Future,” World Resources Institute.</w:t>
      </w:r>
    </w:p>
    <w:p w14:paraId="68165107" w14:textId="77777777" w:rsidR="007C1BF9" w:rsidRPr="00C40B08" w:rsidRDefault="007C1BF9" w:rsidP="000656C9">
      <w:pPr>
        <w:spacing w:line="276" w:lineRule="auto"/>
        <w:ind w:left="360" w:hanging="360"/>
        <w:rPr>
          <w:rFonts w:ascii="Calibri" w:hAnsi="Calibri"/>
        </w:rPr>
      </w:pPr>
      <w:r w:rsidRPr="00C40B08">
        <w:rPr>
          <w:rFonts w:ascii="Calibri" w:hAnsi="Calibri"/>
        </w:rPr>
        <w:t>International Energy Agency (IEA). 2014. Energy Efficiency Market Report 2014 (Paris: IEA).</w:t>
      </w:r>
    </w:p>
    <w:p w14:paraId="10222E72" w14:textId="6B6418CD" w:rsidR="00ED3CB5" w:rsidRPr="00C40B08" w:rsidRDefault="00F436D3" w:rsidP="000656C9">
      <w:pPr>
        <w:spacing w:line="276" w:lineRule="auto"/>
        <w:rPr>
          <w:rFonts w:ascii="Calibri" w:hAnsi="Calibri"/>
          <w:noProof/>
        </w:rPr>
      </w:pPr>
      <w:r w:rsidRPr="00C40B08">
        <w:rPr>
          <w:rFonts w:ascii="Calibri" w:hAnsi="Calibri"/>
          <w:noProof/>
        </w:rPr>
        <w:t>IEA.</w:t>
      </w:r>
      <w:r w:rsidR="00ED3CB5" w:rsidRPr="00C40B08">
        <w:rPr>
          <w:rFonts w:ascii="Calibri" w:hAnsi="Calibri"/>
          <w:noProof/>
        </w:rPr>
        <w:t xml:space="preserve"> 2016. World Energy Outlook 2016. Chapter 8: Energy and Climate Change, pp. 313-346.</w:t>
      </w:r>
    </w:p>
    <w:p w14:paraId="3B2F5FAC" w14:textId="77777777" w:rsidR="007C1BF9" w:rsidRPr="00C40B08" w:rsidRDefault="007C1BF9" w:rsidP="000656C9">
      <w:pPr>
        <w:spacing w:line="276" w:lineRule="auto"/>
        <w:ind w:left="360" w:hanging="360"/>
        <w:rPr>
          <w:rFonts w:ascii="Calibri" w:hAnsi="Calibri"/>
        </w:rPr>
      </w:pPr>
      <w:r w:rsidRPr="00C40B08">
        <w:rPr>
          <w:rFonts w:ascii="Calibri" w:hAnsi="Calibri"/>
        </w:rPr>
        <w:lastRenderedPageBreak/>
        <w:t>Larsen, John, Sarah Ladislaw, Michelle Melton, and Whitney Herndon, 2016a. Assessing the Final Clean Power Plan: Emissions Outcomes. Center for Strategic and International Studies. Washington, DC: Rhodium Group.</w:t>
      </w:r>
    </w:p>
    <w:p w14:paraId="23761311"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t>Lashof</w:t>
      </w:r>
      <w:proofErr w:type="spellEnd"/>
      <w:r w:rsidRPr="00C40B08">
        <w:rPr>
          <w:rFonts w:ascii="Calibri" w:hAnsi="Calibri"/>
        </w:rPr>
        <w:t xml:space="preserve">, D., </w:t>
      </w:r>
      <w:proofErr w:type="spellStart"/>
      <w:r w:rsidRPr="00C40B08">
        <w:rPr>
          <w:rFonts w:ascii="Calibri" w:hAnsi="Calibri"/>
        </w:rPr>
        <w:t>Yeh</w:t>
      </w:r>
      <w:proofErr w:type="spellEnd"/>
      <w:r w:rsidRPr="00C40B08">
        <w:rPr>
          <w:rFonts w:ascii="Calibri" w:hAnsi="Calibri"/>
        </w:rPr>
        <w:t xml:space="preserve">, S., </w:t>
      </w:r>
      <w:proofErr w:type="spellStart"/>
      <w:r w:rsidRPr="00C40B08">
        <w:rPr>
          <w:rFonts w:ascii="Calibri" w:hAnsi="Calibri"/>
        </w:rPr>
        <w:t>Bryk</w:t>
      </w:r>
      <w:proofErr w:type="spellEnd"/>
      <w:r w:rsidRPr="00C40B08">
        <w:rPr>
          <w:rFonts w:ascii="Calibri" w:hAnsi="Calibri"/>
        </w:rPr>
        <w:t xml:space="preserve">, D., Carter, S., </w:t>
      </w:r>
      <w:proofErr w:type="spellStart"/>
      <w:r w:rsidRPr="00C40B08">
        <w:rPr>
          <w:rFonts w:ascii="Calibri" w:hAnsi="Calibri"/>
        </w:rPr>
        <w:t>Doniger</w:t>
      </w:r>
      <w:proofErr w:type="spellEnd"/>
      <w:r w:rsidRPr="00C40B08">
        <w:rPr>
          <w:rFonts w:ascii="Calibri" w:hAnsi="Calibri"/>
        </w:rPr>
        <w:t xml:space="preserve">, D., Murrow, D., &amp; Johnson, L., 2014. Cleaner and Cheaper: Using the Clean Air Act to Sharply Reduce Carbon Pollution from Existing Power Plants, Delivering Health, Environmental, and Economic Benefits. Washington, DC: Natural Resources Defense Council. Retrieved from http://www.nrdc.org/air/pollution-standards/files/pollution-standards-IB- update.pdf </w:t>
      </w:r>
    </w:p>
    <w:p w14:paraId="03C634E4" w14:textId="77777777" w:rsidR="007C1BF9" w:rsidRPr="00C40B08" w:rsidRDefault="007C1BF9" w:rsidP="000656C9">
      <w:pPr>
        <w:spacing w:line="276" w:lineRule="auto"/>
        <w:ind w:left="360" w:hanging="360"/>
        <w:rPr>
          <w:rFonts w:ascii="Calibri" w:hAnsi="Calibri"/>
        </w:rPr>
      </w:pPr>
      <w:proofErr w:type="spellStart"/>
      <w:r w:rsidRPr="00C40B08">
        <w:rPr>
          <w:rFonts w:ascii="Calibri" w:hAnsi="Calibri"/>
        </w:rPr>
        <w:t>Litz</w:t>
      </w:r>
      <w:proofErr w:type="spellEnd"/>
      <w:r w:rsidRPr="00C40B08">
        <w:rPr>
          <w:rFonts w:ascii="Calibri" w:hAnsi="Calibri"/>
        </w:rPr>
        <w:t>, F. and B. Murray, 2016. Mass-Based Trading under the Clean Power Plan: Options for Allowance Allocation. NI WP 16-04, Durham, NC: Duke University.</w:t>
      </w:r>
    </w:p>
    <w:p w14:paraId="65E7CDC4" w14:textId="77777777" w:rsidR="007C1BF9" w:rsidRPr="00C40B08" w:rsidRDefault="007C1BF9" w:rsidP="000656C9">
      <w:pPr>
        <w:spacing w:line="276" w:lineRule="auto"/>
        <w:ind w:left="360" w:hanging="360"/>
        <w:rPr>
          <w:rFonts w:ascii="Calibri" w:hAnsi="Calibri"/>
        </w:rPr>
      </w:pPr>
      <w:r w:rsidRPr="00C40B08">
        <w:rPr>
          <w:rFonts w:ascii="Calibri" w:hAnsi="Calibri"/>
        </w:rPr>
        <w:t>M.J. Bradley &amp; Associates LLC, 2016. EPA’s Clean Power Plan: Summary of IPM Modeling Results (Boston, MA: M.J. Bradley &amp; Associates LLC).</w:t>
      </w:r>
    </w:p>
    <w:p w14:paraId="08CDC83A" w14:textId="77777777" w:rsidR="007C1BF9" w:rsidRPr="00C40B08" w:rsidRDefault="007C1BF9" w:rsidP="000656C9">
      <w:pPr>
        <w:spacing w:line="276" w:lineRule="auto"/>
        <w:ind w:left="360" w:hanging="360"/>
        <w:rPr>
          <w:rFonts w:ascii="Calibri" w:hAnsi="Calibri"/>
        </w:rPr>
      </w:pPr>
      <w:r w:rsidRPr="00C40B08">
        <w:rPr>
          <w:rFonts w:ascii="Calibri" w:hAnsi="Calibri"/>
        </w:rPr>
        <w:t>Martin, Laura, and Jeffrey Jones, 2016. Effects of the Clean Power Plan (Washington, DC: Energy Information Administration), DOE/EIA-0383(2016), June.</w:t>
      </w:r>
    </w:p>
    <w:p w14:paraId="5986FB63"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Murray, Brian C., William A. </w:t>
      </w:r>
      <w:proofErr w:type="spellStart"/>
      <w:r w:rsidRPr="00C40B08">
        <w:rPr>
          <w:rFonts w:ascii="Calibri" w:hAnsi="Calibri"/>
        </w:rPr>
        <w:t>Pizer</w:t>
      </w:r>
      <w:proofErr w:type="spellEnd"/>
      <w:r w:rsidRPr="00C40B08">
        <w:rPr>
          <w:rFonts w:ascii="Calibri" w:hAnsi="Calibri"/>
        </w:rPr>
        <w:t>, and Martin T. Ross, 2015. Regulating Existing Power Plants under the U.S. Clean Air Act: Present and future consequences of key design choices, Energy Policy (83): 87-98.</w:t>
      </w:r>
    </w:p>
    <w:p w14:paraId="2A66E626"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National Academies, 2016. The Power of Change: Innovation for Development and Deployment of Increasingly Clean Electric Power Technologies (Washington, DC: National Academies) </w:t>
      </w:r>
    </w:p>
    <w:p w14:paraId="489809D5" w14:textId="77777777" w:rsidR="007C1BF9" w:rsidRPr="00C40B08" w:rsidRDefault="007C1BF9" w:rsidP="000656C9">
      <w:pPr>
        <w:spacing w:line="276" w:lineRule="auto"/>
        <w:ind w:left="360" w:hanging="360"/>
        <w:rPr>
          <w:rFonts w:ascii="Calibri" w:hAnsi="Calibri"/>
        </w:rPr>
      </w:pPr>
      <w:r w:rsidRPr="00C40B08">
        <w:rPr>
          <w:rFonts w:ascii="Calibri" w:hAnsi="Calibri"/>
        </w:rPr>
        <w:t>NERA Economic Consulting, 2015. Energy and Consumer Impacts of EPA’s Clean Power Plan, http://www.americaspower.org/wp-content/uploads/2015/11/NERA-CPP-Final-Nov-7.pdf.</w:t>
      </w:r>
    </w:p>
    <w:p w14:paraId="0BBE1BE8"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Peters, Jeffrey C. and Thomas W. and </w:t>
      </w:r>
      <w:proofErr w:type="spellStart"/>
      <w:r w:rsidRPr="00C40B08">
        <w:rPr>
          <w:rFonts w:ascii="Calibri" w:hAnsi="Calibri"/>
        </w:rPr>
        <w:t>Hertel</w:t>
      </w:r>
      <w:proofErr w:type="spellEnd"/>
      <w:r w:rsidRPr="00C40B08">
        <w:rPr>
          <w:rFonts w:ascii="Calibri" w:hAnsi="Calibri"/>
        </w:rPr>
        <w:t>, 2016. Achieving the Clean Power Plan 2030 CO</w:t>
      </w:r>
      <w:r w:rsidRPr="00C40B08">
        <w:rPr>
          <w:rFonts w:ascii="Calibri" w:hAnsi="Calibri"/>
          <w:vertAlign w:val="subscript"/>
        </w:rPr>
        <w:t>2</w:t>
      </w:r>
      <w:r w:rsidRPr="00C40B08">
        <w:rPr>
          <w:rFonts w:ascii="Calibri" w:hAnsi="Calibri"/>
        </w:rPr>
        <w:t xml:space="preserve"> Target with the New Normal in Natural Gas Prices, The Energy Journal, forthcoming.</w:t>
      </w:r>
    </w:p>
    <w:p w14:paraId="1741397F"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Resources for the Future, 2016. “Lessons for Reducing Leakage to Uncovered Sources under the Clean Power Plan.” Available at: </w:t>
      </w:r>
      <w:hyperlink r:id="rId25" w:history="1">
        <w:r w:rsidRPr="00C40B08">
          <w:rPr>
            <w:rStyle w:val="Hyperlink"/>
            <w:rFonts w:ascii="Calibri" w:hAnsi="Calibri"/>
          </w:rPr>
          <w:t>http://www.rff.org/files/document/file/Burtraw_CPP%20Leakage%20160823_dis.pdf</w:t>
        </w:r>
      </w:hyperlink>
      <w:r w:rsidRPr="00C40B08">
        <w:rPr>
          <w:rFonts w:ascii="Calibri" w:hAnsi="Calibri"/>
        </w:rPr>
        <w:t>.</w:t>
      </w:r>
    </w:p>
    <w:p w14:paraId="3C47890A"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Rhodium Group and Center for Strategic &amp; International Studies, 2016. “Assessing the Final Clean Power Plan Energy Market Impacts.” Available at: </w:t>
      </w:r>
      <w:hyperlink r:id="rId26" w:history="1">
        <w:r w:rsidRPr="00C40B08">
          <w:rPr>
            <w:rStyle w:val="Hyperlink"/>
            <w:rFonts w:ascii="Calibri" w:hAnsi="Calibri"/>
          </w:rPr>
          <w:t>http://rhg.com/wp-content/uploads/2016/05/AssessingCleanPowerPlan_EMI.pdf</w:t>
        </w:r>
      </w:hyperlink>
      <w:r w:rsidRPr="00C40B08">
        <w:rPr>
          <w:rFonts w:ascii="Calibri" w:hAnsi="Calibri"/>
        </w:rPr>
        <w:t>.</w:t>
      </w:r>
    </w:p>
    <w:p w14:paraId="1F611E8D"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Ross, M., D. </w:t>
      </w:r>
      <w:proofErr w:type="spellStart"/>
      <w:r w:rsidRPr="00C40B08">
        <w:rPr>
          <w:rFonts w:ascii="Calibri" w:hAnsi="Calibri"/>
        </w:rPr>
        <w:t>Hoppock</w:t>
      </w:r>
      <w:proofErr w:type="spellEnd"/>
      <w:r w:rsidRPr="00C40B08">
        <w:rPr>
          <w:rFonts w:ascii="Calibri" w:hAnsi="Calibri"/>
        </w:rPr>
        <w:t xml:space="preserve">, &amp; B. Murray, 2015. Assessing Impacts of the Clean Power Plan on Southeast States (No. 15-03). Durham, NC. </w:t>
      </w:r>
    </w:p>
    <w:p w14:paraId="2AD578DF" w14:textId="07BFF835" w:rsidR="00EA5319" w:rsidRPr="00C40B08" w:rsidRDefault="00EA5319" w:rsidP="000656C9">
      <w:pPr>
        <w:spacing w:line="276" w:lineRule="auto"/>
        <w:ind w:left="360" w:hanging="360"/>
        <w:rPr>
          <w:rFonts w:ascii="Calibri" w:eastAsia="SimSun" w:hAnsi="Calibri" w:cs="Arial"/>
          <w:color w:val="000000" w:themeColor="text1"/>
          <w:lang w:eastAsia="zh-CN"/>
        </w:rPr>
      </w:pPr>
      <w:r w:rsidRPr="00C40B08">
        <w:rPr>
          <w:rFonts w:ascii="Calibri" w:eastAsia="SimSun" w:hAnsi="Calibri" w:cs="Arial"/>
          <w:color w:val="000000" w:themeColor="text1"/>
          <w:lang w:eastAsia="zh-CN"/>
        </w:rPr>
        <w:t xml:space="preserve">Shearer, Christine, J. </w:t>
      </w:r>
      <w:proofErr w:type="spellStart"/>
      <w:r w:rsidRPr="00C40B08">
        <w:rPr>
          <w:rFonts w:ascii="Calibri" w:eastAsia="SimSun" w:hAnsi="Calibri" w:cs="Arial"/>
          <w:color w:val="000000" w:themeColor="text1"/>
          <w:lang w:eastAsia="zh-CN"/>
        </w:rPr>
        <w:t>Bistline</w:t>
      </w:r>
      <w:proofErr w:type="spellEnd"/>
      <w:r w:rsidRPr="00C40B08">
        <w:rPr>
          <w:rFonts w:ascii="Calibri" w:eastAsia="SimSun" w:hAnsi="Calibri" w:cs="Arial"/>
          <w:color w:val="000000" w:themeColor="text1"/>
          <w:lang w:eastAsia="zh-CN"/>
        </w:rPr>
        <w:t>, M. Inman, &amp; S. J. Davis, 2014. The effect of natural gas supply on US</w:t>
      </w:r>
      <w:r w:rsidRPr="00C40B08">
        <w:rPr>
          <w:rFonts w:ascii="Calibri" w:hAnsi="Calibri"/>
        </w:rPr>
        <w:t xml:space="preserve"> </w:t>
      </w:r>
      <w:r w:rsidRPr="00C40B08">
        <w:rPr>
          <w:rFonts w:ascii="Calibri" w:eastAsia="SimSun" w:hAnsi="Calibri" w:cs="Arial"/>
          <w:color w:val="000000" w:themeColor="text1"/>
          <w:lang w:eastAsia="zh-CN"/>
        </w:rPr>
        <w:t>renewable energy and CO</w:t>
      </w:r>
      <w:r w:rsidRPr="00C40B08">
        <w:rPr>
          <w:rFonts w:ascii="Calibri" w:eastAsia="SimSun" w:hAnsi="Calibri" w:cs="Arial"/>
          <w:color w:val="000000" w:themeColor="text1"/>
          <w:vertAlign w:val="subscript"/>
          <w:lang w:eastAsia="zh-CN"/>
        </w:rPr>
        <w:t>2</w:t>
      </w:r>
      <w:r w:rsidRPr="00C40B08">
        <w:rPr>
          <w:rFonts w:ascii="Calibri" w:eastAsia="SimSun" w:hAnsi="Calibri" w:cs="Arial"/>
          <w:color w:val="000000" w:themeColor="text1"/>
          <w:lang w:eastAsia="zh-CN"/>
        </w:rPr>
        <w:t xml:space="preserve"> emissions. Environmental Research Letters</w:t>
      </w:r>
      <w:r w:rsidRPr="00C40B08">
        <w:rPr>
          <w:rFonts w:ascii="Calibri" w:hAnsi="Calibri"/>
        </w:rPr>
        <w:t xml:space="preserve"> </w:t>
      </w:r>
      <w:r w:rsidRPr="00C40B08">
        <w:rPr>
          <w:rFonts w:ascii="Calibri" w:eastAsia="SimSun" w:hAnsi="Calibri" w:cs="Arial"/>
          <w:color w:val="000000" w:themeColor="text1"/>
          <w:lang w:eastAsia="zh-CN"/>
        </w:rPr>
        <w:t>9 (2014) 094008 (8pp) doi:10.1088/1748-9326/9/9/094008.</w:t>
      </w:r>
    </w:p>
    <w:p w14:paraId="6BDDB97F" w14:textId="5A8ABF1A" w:rsidR="007C1BF9" w:rsidRPr="00C40B08" w:rsidRDefault="007C1BF9" w:rsidP="000656C9">
      <w:pPr>
        <w:spacing w:line="276" w:lineRule="auto"/>
        <w:ind w:left="360" w:hanging="360"/>
        <w:rPr>
          <w:rFonts w:ascii="Calibri" w:hAnsi="Calibri"/>
        </w:rPr>
      </w:pPr>
      <w:r w:rsidRPr="00C40B08">
        <w:rPr>
          <w:rFonts w:ascii="Calibri" w:eastAsia="SimSun" w:hAnsi="Calibri" w:cs="Arial"/>
          <w:color w:val="000000" w:themeColor="text1"/>
          <w:lang w:eastAsia="zh-CN"/>
        </w:rPr>
        <w:t xml:space="preserve">Smith, Alexander and Marilyn A. Brown. 2015. “Demand Response: A Carbon Neutral Resource?” </w:t>
      </w:r>
      <w:r w:rsidRPr="00C40B08">
        <w:rPr>
          <w:rFonts w:ascii="Calibri" w:eastAsia="SimSun" w:hAnsi="Calibri" w:cs="Arial"/>
          <w:i/>
          <w:color w:val="000000" w:themeColor="text1"/>
          <w:lang w:eastAsia="zh-CN"/>
        </w:rPr>
        <w:t xml:space="preserve">Energy </w:t>
      </w:r>
      <w:r w:rsidRPr="00C40B08">
        <w:rPr>
          <w:rFonts w:ascii="Calibri" w:hAnsi="Calibri" w:cs="Arial"/>
          <w:color w:val="000000" w:themeColor="text1"/>
        </w:rPr>
        <w:t>85 (2015) 10</w:t>
      </w:r>
      <w:r w:rsidRPr="00C40B08">
        <w:rPr>
          <w:rFonts w:ascii="Calibri" w:hAnsi="Calibri" w:cs="Arial"/>
          <w:b/>
          <w:bCs/>
          <w:color w:val="000000" w:themeColor="text1"/>
        </w:rPr>
        <w:t>-</w:t>
      </w:r>
      <w:r w:rsidRPr="00C40B08">
        <w:rPr>
          <w:rFonts w:ascii="Calibri" w:hAnsi="Calibri" w:cs="Arial"/>
          <w:color w:val="000000" w:themeColor="text1"/>
        </w:rPr>
        <w:t>22</w:t>
      </w:r>
      <w:r w:rsidRPr="00C40B08">
        <w:rPr>
          <w:rFonts w:ascii="Calibri" w:eastAsia="SimSun" w:hAnsi="Calibri" w:cs="Arial"/>
          <w:color w:val="000000" w:themeColor="text1"/>
          <w:lang w:eastAsia="zh-CN"/>
        </w:rPr>
        <w:t>.</w:t>
      </w:r>
    </w:p>
    <w:p w14:paraId="7C800D9C" w14:textId="7F9C197D" w:rsidR="00EA5319" w:rsidRPr="00C40B08" w:rsidRDefault="00EA5319" w:rsidP="000656C9">
      <w:pPr>
        <w:spacing w:line="276" w:lineRule="auto"/>
        <w:ind w:left="360" w:hanging="360"/>
        <w:rPr>
          <w:rFonts w:ascii="Calibri" w:hAnsi="Calibri"/>
        </w:rPr>
      </w:pPr>
      <w:r w:rsidRPr="00C40B08">
        <w:rPr>
          <w:rFonts w:ascii="Calibri" w:hAnsi="Calibri"/>
        </w:rPr>
        <w:t xml:space="preserve">Thomas, Brinda Ann, Z. </w:t>
      </w:r>
      <w:proofErr w:type="spellStart"/>
      <w:r w:rsidRPr="00C40B08">
        <w:rPr>
          <w:rFonts w:ascii="Calibri" w:hAnsi="Calibri"/>
        </w:rPr>
        <w:t>Hausfather</w:t>
      </w:r>
      <w:proofErr w:type="spellEnd"/>
      <w:r w:rsidRPr="00C40B08">
        <w:rPr>
          <w:rFonts w:ascii="Calibri" w:hAnsi="Calibri"/>
        </w:rPr>
        <w:t xml:space="preserve">, &amp; I. L. </w:t>
      </w:r>
      <w:proofErr w:type="spellStart"/>
      <w:r w:rsidRPr="00C40B08">
        <w:rPr>
          <w:rFonts w:ascii="Calibri" w:hAnsi="Calibri"/>
        </w:rPr>
        <w:t>Azevedo</w:t>
      </w:r>
      <w:proofErr w:type="spellEnd"/>
      <w:r w:rsidRPr="00C40B08">
        <w:rPr>
          <w:rFonts w:ascii="Calibri" w:hAnsi="Calibri"/>
        </w:rPr>
        <w:t xml:space="preserve">, 2014. Comparing the magnitude of simulated residential rebound effects from electric end-use efficiency across the US. </w:t>
      </w:r>
      <w:r w:rsidRPr="00C40B08">
        <w:rPr>
          <w:rFonts w:ascii="Calibri" w:hAnsi="Calibri"/>
        </w:rPr>
        <w:lastRenderedPageBreak/>
        <w:t>Environmental Research Letters 9 (2014) 074010 (13pp) doi:10.1088/1748-9326/9/7/074010.</w:t>
      </w:r>
    </w:p>
    <w:p w14:paraId="342238C5" w14:textId="57970199" w:rsidR="007C1BF9" w:rsidRPr="00C40B08" w:rsidRDefault="007C1BF9" w:rsidP="000656C9">
      <w:pPr>
        <w:spacing w:line="276" w:lineRule="auto"/>
        <w:ind w:left="360" w:hanging="360"/>
        <w:rPr>
          <w:rFonts w:ascii="Calibri" w:hAnsi="Calibri"/>
        </w:rPr>
      </w:pPr>
      <w:r w:rsidRPr="00C40B08">
        <w:rPr>
          <w:rFonts w:ascii="Calibri" w:hAnsi="Calibri"/>
        </w:rPr>
        <w:t xml:space="preserve">U.S. Energy Information Administration (US EIA), 2014a. </w:t>
      </w:r>
      <w:r w:rsidRPr="00C40B08">
        <w:rPr>
          <w:rFonts w:ascii="Calibri" w:hAnsi="Calibri"/>
          <w:i/>
        </w:rPr>
        <w:t>Integrating module of the national energy modeling system: Model documentation 2014</w:t>
      </w:r>
      <w:r w:rsidRPr="00C40B08">
        <w:rPr>
          <w:rFonts w:ascii="Calibri" w:hAnsi="Calibri"/>
        </w:rPr>
        <w:t>. Retrieved from http://www.</w:t>
      </w:r>
      <w:r w:rsidRPr="00C40B08" w:rsidDel="00D35686">
        <w:rPr>
          <w:rFonts w:ascii="Calibri" w:hAnsi="Calibri"/>
        </w:rPr>
        <w:t>USEIA</w:t>
      </w:r>
      <w:r w:rsidRPr="00C40B08">
        <w:rPr>
          <w:rFonts w:ascii="Calibri" w:hAnsi="Calibri"/>
        </w:rPr>
        <w:t>US EIA.gov/ forecasts/aeo/nems/documentation/integrating/pdf/m057%282014%29.pdf.</w:t>
      </w:r>
    </w:p>
    <w:p w14:paraId="3C277598" w14:textId="25199804" w:rsidR="007C1BF9" w:rsidRPr="00C40B08" w:rsidRDefault="007C1BF9" w:rsidP="000656C9">
      <w:pPr>
        <w:spacing w:line="276" w:lineRule="auto"/>
        <w:ind w:left="360" w:hanging="360"/>
        <w:rPr>
          <w:rFonts w:ascii="Calibri" w:hAnsi="Calibri"/>
        </w:rPr>
      </w:pPr>
      <w:r w:rsidRPr="00C40B08">
        <w:rPr>
          <w:rFonts w:ascii="Calibri" w:hAnsi="Calibri"/>
        </w:rPr>
        <w:t xml:space="preserve">U.S. EIA, 2009. The National Energy Modeling System: An Overview. Retrieved from http://www.eia.gov/oiaf/aeo/overview/ </w:t>
      </w:r>
    </w:p>
    <w:p w14:paraId="50D71DB6" w14:textId="5971CF8B" w:rsidR="007C1BF9" w:rsidRPr="00C40B08" w:rsidRDefault="007C1BF9" w:rsidP="000656C9">
      <w:pPr>
        <w:spacing w:line="276" w:lineRule="auto"/>
        <w:ind w:left="360" w:hanging="360"/>
        <w:rPr>
          <w:rFonts w:ascii="Calibri" w:hAnsi="Calibri"/>
        </w:rPr>
      </w:pPr>
      <w:r w:rsidRPr="00C40B08">
        <w:rPr>
          <w:rFonts w:ascii="Calibri" w:hAnsi="Calibri"/>
        </w:rPr>
        <w:t xml:space="preserve">U.S. EIA, 2014b. </w:t>
      </w:r>
      <w:r w:rsidRPr="00C40B08">
        <w:rPr>
          <w:rFonts w:ascii="Calibri" w:hAnsi="Calibri"/>
          <w:i/>
        </w:rPr>
        <w:t>Residential demand module of the national energy modeling system: Model documentation 2014.</w:t>
      </w:r>
      <w:r w:rsidRPr="00C40B08">
        <w:rPr>
          <w:rFonts w:ascii="Calibri" w:hAnsi="Calibri"/>
        </w:rPr>
        <w:t xml:space="preserve"> Retrieved from http://www.eia. gov/forecasts/aeo/nems/documentation/residential/pdf/m067%282014%29.pdf.</w:t>
      </w:r>
    </w:p>
    <w:p w14:paraId="679BB29F" w14:textId="26DFB759" w:rsidR="007C1BF9" w:rsidRPr="00C40B08" w:rsidRDefault="007C1BF9" w:rsidP="000656C9">
      <w:pPr>
        <w:spacing w:line="276" w:lineRule="auto"/>
        <w:ind w:left="360" w:hanging="360"/>
        <w:rPr>
          <w:rFonts w:ascii="Calibri" w:hAnsi="Calibri"/>
        </w:rPr>
      </w:pPr>
      <w:r w:rsidRPr="00C40B08">
        <w:rPr>
          <w:rFonts w:ascii="Calibri" w:hAnsi="Calibri"/>
        </w:rPr>
        <w:t xml:space="preserve">U.S. EIA, 2015a. Annual Energy Outlook 2015. Washington, DC: U.S. Energy Information Administration. </w:t>
      </w:r>
    </w:p>
    <w:p w14:paraId="5B205FFE" w14:textId="0C98A9C4" w:rsidR="007C1BF9" w:rsidRPr="00C40B08" w:rsidRDefault="007C1BF9" w:rsidP="000656C9">
      <w:pPr>
        <w:spacing w:line="276" w:lineRule="auto"/>
        <w:ind w:left="360" w:hanging="360"/>
        <w:rPr>
          <w:rFonts w:ascii="Calibri" w:hAnsi="Calibri"/>
        </w:rPr>
      </w:pPr>
      <w:r w:rsidRPr="00C40B08">
        <w:rPr>
          <w:rFonts w:ascii="Calibri" w:hAnsi="Calibri"/>
        </w:rPr>
        <w:t xml:space="preserve">U.S. EIA, 2015b Analysis of the Impacts of the Clean Power Plan, Washington, DC: U.S. Energy Information Administration, May. </w:t>
      </w:r>
    </w:p>
    <w:p w14:paraId="040F7223" w14:textId="242FE94E" w:rsidR="007C1BF9" w:rsidRPr="00C40B08" w:rsidRDefault="007C1BF9" w:rsidP="000656C9">
      <w:pPr>
        <w:spacing w:line="276" w:lineRule="auto"/>
        <w:ind w:left="360" w:hanging="360"/>
        <w:rPr>
          <w:rFonts w:ascii="Calibri" w:hAnsi="Calibri"/>
        </w:rPr>
      </w:pPr>
      <w:r w:rsidRPr="00C40B08" w:rsidDel="00D35686">
        <w:rPr>
          <w:rFonts w:ascii="Calibri" w:hAnsi="Calibri"/>
        </w:rPr>
        <w:t>U</w:t>
      </w:r>
      <w:r w:rsidRPr="00C40B08">
        <w:rPr>
          <w:rFonts w:ascii="Calibri" w:hAnsi="Calibri"/>
        </w:rPr>
        <w:t>.</w:t>
      </w:r>
      <w:r w:rsidRPr="00C40B08" w:rsidDel="00D35686">
        <w:rPr>
          <w:rFonts w:ascii="Calibri" w:hAnsi="Calibri"/>
        </w:rPr>
        <w:t>S</w:t>
      </w:r>
      <w:r w:rsidRPr="00C40B08">
        <w:rPr>
          <w:rFonts w:ascii="Calibri" w:hAnsi="Calibri"/>
        </w:rPr>
        <w:t xml:space="preserve">. </w:t>
      </w:r>
      <w:r w:rsidRPr="00C40B08" w:rsidDel="00D35686">
        <w:rPr>
          <w:rFonts w:ascii="Calibri" w:hAnsi="Calibri"/>
        </w:rPr>
        <w:t>EIA</w:t>
      </w:r>
      <w:r w:rsidRPr="00C40B08">
        <w:rPr>
          <w:rFonts w:ascii="Calibri" w:hAnsi="Calibri"/>
        </w:rPr>
        <w:t xml:space="preserve">, 2015c. The national energy modeling system. Retrieved from </w:t>
      </w:r>
      <w:hyperlink r:id="rId27" w:history="1">
        <w:r w:rsidRPr="00C40B08">
          <w:rPr>
            <w:rStyle w:val="Hyperlink"/>
            <w:rFonts w:ascii="Calibri" w:hAnsi="Calibri"/>
          </w:rPr>
          <w:t>http://www.eia.gov/oiaf/aeo/overview/index.html</w:t>
        </w:r>
      </w:hyperlink>
      <w:r w:rsidRPr="00C40B08">
        <w:rPr>
          <w:rFonts w:ascii="Calibri" w:hAnsi="Calibri"/>
        </w:rPr>
        <w:t xml:space="preserve"> </w:t>
      </w:r>
    </w:p>
    <w:p w14:paraId="5F9A5A8A" w14:textId="0A6E72A5" w:rsidR="007C1BF9" w:rsidRPr="00C40B08" w:rsidRDefault="007C1BF9" w:rsidP="000656C9">
      <w:pPr>
        <w:spacing w:line="276" w:lineRule="auto"/>
        <w:ind w:left="360" w:hanging="360"/>
        <w:rPr>
          <w:rFonts w:ascii="Calibri" w:hAnsi="Calibri"/>
        </w:rPr>
      </w:pPr>
      <w:r w:rsidRPr="00C40B08" w:rsidDel="00D35686">
        <w:rPr>
          <w:rFonts w:ascii="Calibri" w:hAnsi="Calibri"/>
        </w:rPr>
        <w:t>U</w:t>
      </w:r>
      <w:r w:rsidRPr="00C40B08">
        <w:rPr>
          <w:rFonts w:ascii="Calibri" w:hAnsi="Calibri"/>
        </w:rPr>
        <w:t>.</w:t>
      </w:r>
      <w:r w:rsidRPr="00C40B08" w:rsidDel="00D35686">
        <w:rPr>
          <w:rFonts w:ascii="Calibri" w:hAnsi="Calibri"/>
        </w:rPr>
        <w:t>S</w:t>
      </w:r>
      <w:r w:rsidRPr="00C40B08">
        <w:rPr>
          <w:rFonts w:ascii="Calibri" w:hAnsi="Calibri"/>
        </w:rPr>
        <w:t xml:space="preserve">. </w:t>
      </w:r>
      <w:r w:rsidRPr="00C40B08" w:rsidDel="00D35686">
        <w:rPr>
          <w:rFonts w:ascii="Calibri" w:hAnsi="Calibri"/>
        </w:rPr>
        <w:t>EIA</w:t>
      </w:r>
      <w:r w:rsidRPr="00C40B08">
        <w:rPr>
          <w:rFonts w:ascii="Calibri" w:hAnsi="Calibri"/>
        </w:rPr>
        <w:t>, 2015d. Updated Buildings Sector Appliance and Equipment Costs an Efficiencies, Washington, DC: U.S. Energy Information Administration.</w:t>
      </w:r>
    </w:p>
    <w:p w14:paraId="3F905851" w14:textId="00062009" w:rsidR="007C1BF9" w:rsidRPr="00C40B08" w:rsidRDefault="007C1BF9" w:rsidP="000656C9">
      <w:pPr>
        <w:spacing w:line="276" w:lineRule="auto"/>
        <w:ind w:left="360" w:hanging="360"/>
        <w:rPr>
          <w:rFonts w:ascii="Calibri" w:hAnsi="Calibri"/>
          <w:noProof/>
        </w:rPr>
      </w:pPr>
      <w:r w:rsidRPr="00C40B08" w:rsidDel="00D35686">
        <w:rPr>
          <w:rFonts w:ascii="Calibri" w:hAnsi="Calibri"/>
          <w:noProof/>
        </w:rPr>
        <w:t>U</w:t>
      </w:r>
      <w:r w:rsidRPr="00C40B08">
        <w:rPr>
          <w:rFonts w:ascii="Calibri" w:hAnsi="Calibri"/>
          <w:noProof/>
        </w:rPr>
        <w:t>.</w:t>
      </w:r>
      <w:r w:rsidRPr="00C40B08" w:rsidDel="00D35686">
        <w:rPr>
          <w:rFonts w:ascii="Calibri" w:hAnsi="Calibri"/>
          <w:noProof/>
        </w:rPr>
        <w:t>S</w:t>
      </w:r>
      <w:r w:rsidRPr="00C40B08">
        <w:rPr>
          <w:rFonts w:ascii="Calibri" w:hAnsi="Calibri"/>
          <w:noProof/>
        </w:rPr>
        <w:t xml:space="preserve">. </w:t>
      </w:r>
      <w:r w:rsidRPr="00C40B08" w:rsidDel="00D35686">
        <w:rPr>
          <w:rFonts w:ascii="Calibri" w:hAnsi="Calibri"/>
          <w:noProof/>
        </w:rPr>
        <w:t>EIA</w:t>
      </w:r>
      <w:r w:rsidRPr="00C40B08">
        <w:rPr>
          <w:rFonts w:ascii="Calibri" w:hAnsi="Calibri"/>
          <w:noProof/>
        </w:rPr>
        <w:t xml:space="preserve">, 2016. Preliminary Monthly Electric Generator Inventory, Feburary 26, 2016. </w:t>
      </w:r>
      <w:hyperlink r:id="rId28" w:history="1">
        <w:r w:rsidRPr="00C40B08">
          <w:rPr>
            <w:rStyle w:val="Hyperlink"/>
            <w:rFonts w:ascii="Calibri" w:hAnsi="Calibri"/>
            <w:noProof/>
          </w:rPr>
          <w:t>http://www.eia.gov/electricity/data/eia860m/</w:t>
        </w:r>
      </w:hyperlink>
      <w:r w:rsidRPr="00C40B08">
        <w:rPr>
          <w:rFonts w:ascii="Calibri" w:hAnsi="Calibri"/>
          <w:noProof/>
        </w:rPr>
        <w:t>. Accessed in March 13, 2016.</w:t>
      </w:r>
    </w:p>
    <w:p w14:paraId="138C0C32"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U.S. Environmental Protection Agency (EPA), 2015a. </w:t>
      </w:r>
      <w:r w:rsidRPr="00C40B08" w:rsidDel="005F0811">
        <w:rPr>
          <w:rFonts w:ascii="Calibri" w:hAnsi="Calibri"/>
        </w:rPr>
        <w:t>Regulatory Impact Analysis for the U.S. Environmental Protection Agency. “</w:t>
      </w:r>
      <w:r w:rsidRPr="00C40B08">
        <w:rPr>
          <w:rFonts w:ascii="Calibri" w:hAnsi="Calibri"/>
        </w:rPr>
        <w:t>Regulatory Impact Analysis for the Clean Power Plan Final Rule.</w:t>
      </w:r>
      <w:r w:rsidRPr="00C40B08" w:rsidDel="005F0811">
        <w:rPr>
          <w:rFonts w:ascii="Calibri" w:hAnsi="Calibri"/>
        </w:rPr>
        <w:t>”</w:t>
      </w:r>
      <w:r w:rsidRPr="00C40B08">
        <w:rPr>
          <w:rFonts w:ascii="Calibri" w:hAnsi="Calibri"/>
        </w:rPr>
        <w:t xml:space="preserve"> Available at: </w:t>
      </w:r>
      <w:hyperlink r:id="rId29" w:history="1">
        <w:r w:rsidRPr="00C40B08">
          <w:rPr>
            <w:rStyle w:val="Hyperlink"/>
            <w:rFonts w:ascii="Calibri" w:hAnsi="Calibri"/>
          </w:rPr>
          <w:t>https://www.epa.gov/sites/production/files/2015-08/documents/cpp-final-rule-ria.pdf</w:t>
        </w:r>
      </w:hyperlink>
      <w:r w:rsidRPr="00C40B08">
        <w:rPr>
          <w:rFonts w:ascii="Calibri" w:hAnsi="Calibri"/>
        </w:rPr>
        <w:t>.</w:t>
      </w:r>
    </w:p>
    <w:p w14:paraId="1F9902C1" w14:textId="6F416FA5" w:rsidR="007C1BF9" w:rsidRPr="009F770C" w:rsidRDefault="007C1BF9" w:rsidP="000656C9">
      <w:pPr>
        <w:spacing w:line="276" w:lineRule="auto"/>
        <w:ind w:left="360" w:hanging="360"/>
        <w:rPr>
          <w:rFonts w:ascii="Calibri" w:hAnsi="Calibri"/>
        </w:rPr>
      </w:pPr>
      <w:r w:rsidRPr="00C40B08">
        <w:rPr>
          <w:rFonts w:ascii="Calibri" w:hAnsi="Calibri"/>
        </w:rPr>
        <w:t xml:space="preserve">U.S. EPA, 2015b. </w:t>
      </w:r>
      <w:r w:rsidRPr="00C40B08">
        <w:rPr>
          <w:rFonts w:ascii="Calibri" w:eastAsia="Times New Roman" w:hAnsi="Calibri"/>
        </w:rPr>
        <w:t xml:space="preserve">Demand-Side Energy Efficiency Technical Support Document. Available at: </w:t>
      </w:r>
      <w:hyperlink r:id="rId30" w:history="1">
        <w:r w:rsidRPr="00C40B08">
          <w:rPr>
            <w:rStyle w:val="Hyperlink"/>
            <w:rFonts w:ascii="Calibri" w:hAnsi="Calibri"/>
          </w:rPr>
          <w:t>https://www.epa.gov/sites/production/files/2015-11/documents/tsd-cpp-demand-side-ee.pdf</w:t>
        </w:r>
      </w:hyperlink>
      <w:r w:rsidRPr="00C40B08" w:rsidDel="005F0811">
        <w:rPr>
          <w:rFonts w:ascii="Calibri" w:eastAsia="Times New Roman" w:hAnsi="Calibri"/>
        </w:rPr>
        <w:t xml:space="preserve"> </w:t>
      </w:r>
      <w:r w:rsidRPr="00C40B08" w:rsidDel="005F0811">
        <w:rPr>
          <w:rFonts w:ascii="Calibri" w:hAnsi="Calibri"/>
        </w:rPr>
        <w:t xml:space="preserve">Proposed Carbon Pollution Guidelines for Existing Power Plants and Emission </w:t>
      </w:r>
      <w:r w:rsidRPr="009F770C" w:rsidDel="005F0811">
        <w:rPr>
          <w:rFonts w:ascii="Calibri" w:hAnsi="Calibri"/>
        </w:rPr>
        <w:t>Standards for Modified and Reconstructed Power Plants</w:t>
      </w:r>
      <w:r w:rsidRPr="009F770C">
        <w:rPr>
          <w:rFonts w:ascii="Calibri" w:hAnsi="Calibri"/>
        </w:rPr>
        <w:t>.</w:t>
      </w:r>
    </w:p>
    <w:p w14:paraId="4C0B6C19" w14:textId="08CB6FD7" w:rsidR="007C1BF9" w:rsidRPr="009F770C" w:rsidRDefault="007C1BF9" w:rsidP="000656C9">
      <w:pPr>
        <w:spacing w:line="276" w:lineRule="auto"/>
        <w:ind w:left="360" w:hanging="360"/>
        <w:rPr>
          <w:rFonts w:ascii="Calibri" w:eastAsia="Times New Roman" w:hAnsi="Calibri"/>
        </w:rPr>
      </w:pPr>
      <w:r w:rsidRPr="009F770C">
        <w:rPr>
          <w:rFonts w:ascii="Calibri" w:hAnsi="Calibri"/>
        </w:rPr>
        <w:t>U.S. EPA, 2016. Inventory of Greenhouse Gas Emissions and Sinks: 1990-1914. Available at: https://www.epa.gov/sites/production/files/2016-04/documents/us-ghg-inventory-2016-main-text.pdf.</w:t>
      </w:r>
    </w:p>
    <w:p w14:paraId="7A48A139" w14:textId="63D2016B" w:rsidR="007C1476" w:rsidRPr="009F770C" w:rsidRDefault="007C1476" w:rsidP="000656C9">
      <w:pPr>
        <w:widowControl w:val="0"/>
        <w:autoSpaceDE w:val="0"/>
        <w:autoSpaceDN w:val="0"/>
        <w:adjustRightInd w:val="0"/>
        <w:spacing w:line="276" w:lineRule="auto"/>
        <w:ind w:left="450" w:hanging="450"/>
        <w:rPr>
          <w:rFonts w:ascii="Calibri" w:hAnsi="Calibri"/>
          <w:bCs/>
          <w:color w:val="000000"/>
        </w:rPr>
      </w:pPr>
      <w:r w:rsidRPr="009F770C">
        <w:rPr>
          <w:rFonts w:ascii="Calibri" w:hAnsi="Calibri"/>
          <w:color w:val="000000"/>
        </w:rPr>
        <w:t xml:space="preserve">Wang, Joy </w:t>
      </w:r>
      <w:proofErr w:type="spellStart"/>
      <w:r w:rsidRPr="009F770C">
        <w:rPr>
          <w:rFonts w:ascii="Calibri" w:hAnsi="Calibri"/>
          <w:color w:val="000000"/>
        </w:rPr>
        <w:t>Huan</w:t>
      </w:r>
      <w:proofErr w:type="spellEnd"/>
      <w:r w:rsidRPr="009F770C">
        <w:rPr>
          <w:rFonts w:ascii="Calibri" w:hAnsi="Calibri"/>
          <w:color w:val="000000"/>
        </w:rPr>
        <w:t xml:space="preserve">. 2016. </w:t>
      </w:r>
      <w:r w:rsidRPr="009F770C">
        <w:rPr>
          <w:rFonts w:ascii="Calibri" w:hAnsi="Calibri"/>
          <w:bCs/>
          <w:color w:val="000000"/>
        </w:rPr>
        <w:t xml:space="preserve">Energy Information at Home: An Analysis and Policy Projection of the Rebound Effect and U.S. Smart Grid, PhD Dissertation, Georgia Institute of Technology. December </w:t>
      </w:r>
    </w:p>
    <w:p w14:paraId="6D3EC795" w14:textId="4F5DFD7A" w:rsidR="007C1BF9" w:rsidRPr="009F770C" w:rsidRDefault="007C1BF9" w:rsidP="000656C9">
      <w:pPr>
        <w:widowControl w:val="0"/>
        <w:autoSpaceDE w:val="0"/>
        <w:autoSpaceDN w:val="0"/>
        <w:adjustRightInd w:val="0"/>
        <w:spacing w:line="276" w:lineRule="auto"/>
        <w:ind w:left="360" w:hanging="360"/>
        <w:rPr>
          <w:rFonts w:ascii="Calibri" w:hAnsi="Calibri"/>
          <w:color w:val="000000"/>
        </w:rPr>
      </w:pPr>
      <w:r w:rsidRPr="009F770C">
        <w:rPr>
          <w:rFonts w:ascii="Calibri" w:hAnsi="Calibri"/>
        </w:rPr>
        <w:t xml:space="preserve">Wang, Y., &amp; Brown, M. A., 2014. Policy Drivers for Improving Electricity End-Use Efficiency in the U.S.: An Economic-Engineering Analysis. Energy Efficiency, 7(3), 517–546. </w:t>
      </w:r>
    </w:p>
    <w:p w14:paraId="1C7B8A6E" w14:textId="77777777" w:rsidR="007C1BF9" w:rsidRPr="00C40B08" w:rsidRDefault="007C1BF9" w:rsidP="000656C9">
      <w:pPr>
        <w:spacing w:line="276" w:lineRule="auto"/>
        <w:ind w:left="360" w:hanging="360"/>
        <w:rPr>
          <w:rFonts w:ascii="Calibri" w:hAnsi="Calibri"/>
        </w:rPr>
      </w:pPr>
      <w:r w:rsidRPr="009F770C">
        <w:rPr>
          <w:rFonts w:ascii="Calibri" w:hAnsi="Calibri"/>
        </w:rPr>
        <w:lastRenderedPageBreak/>
        <w:t xml:space="preserve">Wilkerson, J. T., </w:t>
      </w:r>
      <w:proofErr w:type="spellStart"/>
      <w:r w:rsidRPr="009F770C">
        <w:rPr>
          <w:rFonts w:ascii="Calibri" w:hAnsi="Calibri"/>
        </w:rPr>
        <w:t>Cullenward</w:t>
      </w:r>
      <w:proofErr w:type="spellEnd"/>
      <w:r w:rsidRPr="009F770C">
        <w:rPr>
          <w:rFonts w:ascii="Calibri" w:hAnsi="Calibri"/>
        </w:rPr>
        <w:t xml:space="preserve">, D., Davidian, D., &amp; </w:t>
      </w:r>
      <w:proofErr w:type="spellStart"/>
      <w:r w:rsidRPr="009F770C">
        <w:rPr>
          <w:rFonts w:ascii="Calibri" w:hAnsi="Calibri"/>
        </w:rPr>
        <w:t>Weyant</w:t>
      </w:r>
      <w:proofErr w:type="spellEnd"/>
      <w:r w:rsidRPr="00C40B08">
        <w:rPr>
          <w:rFonts w:ascii="Calibri" w:hAnsi="Calibri"/>
        </w:rPr>
        <w:t>, J. P., 2013. End Use Technology Choice in the National Energy Modeling Systems (NEMS): An Analysis of the Residential and Commercial Building Sectors. Energy Economics, 40, 773–784.</w:t>
      </w:r>
    </w:p>
    <w:p w14:paraId="4A7A55A2" w14:textId="77777777" w:rsidR="007C1BF9" w:rsidRPr="00C40B08" w:rsidRDefault="007C1BF9" w:rsidP="000656C9">
      <w:pPr>
        <w:spacing w:line="276" w:lineRule="auto"/>
        <w:ind w:left="360" w:hanging="360"/>
        <w:rPr>
          <w:rFonts w:ascii="Calibri" w:hAnsi="Calibri"/>
        </w:rPr>
      </w:pPr>
      <w:r w:rsidRPr="00C40B08">
        <w:rPr>
          <w:rFonts w:ascii="Calibri" w:hAnsi="Calibri"/>
        </w:rPr>
        <w:t xml:space="preserve">Wright, E. and A. </w:t>
      </w:r>
      <w:proofErr w:type="spellStart"/>
      <w:r w:rsidRPr="00C40B08">
        <w:rPr>
          <w:rFonts w:ascii="Calibri" w:hAnsi="Calibri"/>
        </w:rPr>
        <w:t>Kanudia</w:t>
      </w:r>
      <w:proofErr w:type="spellEnd"/>
      <w:r w:rsidRPr="00C40B08">
        <w:rPr>
          <w:rFonts w:ascii="Calibri" w:hAnsi="Calibri"/>
        </w:rPr>
        <w:t xml:space="preserve">, 2016. Variation in Outcomes and Leakage Potential </w:t>
      </w:r>
      <w:proofErr w:type="gramStart"/>
      <w:r w:rsidRPr="00C40B08">
        <w:rPr>
          <w:rFonts w:ascii="Calibri" w:hAnsi="Calibri"/>
        </w:rPr>
        <w:t>Across</w:t>
      </w:r>
      <w:proofErr w:type="gramEnd"/>
      <w:r w:rsidRPr="00C40B08">
        <w:rPr>
          <w:rFonts w:ascii="Calibri" w:hAnsi="Calibri"/>
        </w:rPr>
        <w:t xml:space="preserve"> Clean Power Plan Compliance Designs, Energy Economics, forthcoming.</w:t>
      </w:r>
    </w:p>
    <w:p w14:paraId="5A0013AC" w14:textId="64DA4CC8" w:rsidR="00781701" w:rsidRPr="00C40B08" w:rsidRDefault="007C1BF9" w:rsidP="000656C9">
      <w:pPr>
        <w:spacing w:line="276" w:lineRule="auto"/>
        <w:ind w:left="360" w:hanging="360"/>
        <w:rPr>
          <w:rFonts w:ascii="Calibri" w:hAnsi="Calibri"/>
        </w:rPr>
      </w:pPr>
      <w:r w:rsidRPr="00C40B08">
        <w:rPr>
          <w:rFonts w:ascii="Calibri" w:hAnsi="Calibri"/>
        </w:rPr>
        <w:t xml:space="preserve">Zhang, X., N. </w:t>
      </w:r>
      <w:proofErr w:type="spellStart"/>
      <w:r w:rsidRPr="00C40B08">
        <w:rPr>
          <w:rFonts w:ascii="Calibri" w:hAnsi="Calibri"/>
        </w:rPr>
        <w:t>Myhrvold</w:t>
      </w:r>
      <w:proofErr w:type="spellEnd"/>
      <w:r w:rsidRPr="00C40B08">
        <w:rPr>
          <w:rFonts w:ascii="Calibri" w:hAnsi="Calibri"/>
        </w:rPr>
        <w:t xml:space="preserve">, &amp; K. </w:t>
      </w:r>
      <w:proofErr w:type="spellStart"/>
      <w:r w:rsidRPr="00C40B08">
        <w:rPr>
          <w:rFonts w:ascii="Calibri" w:hAnsi="Calibri"/>
        </w:rPr>
        <w:t>Caldeira</w:t>
      </w:r>
      <w:proofErr w:type="spellEnd"/>
      <w:r w:rsidRPr="00C40B08">
        <w:rPr>
          <w:rFonts w:ascii="Calibri" w:hAnsi="Calibri"/>
        </w:rPr>
        <w:t xml:space="preserve">, 2014. Key factors for assessing climate benefits of natural gas versus coal electricity generation, </w:t>
      </w:r>
      <w:r w:rsidR="00EA5319" w:rsidRPr="00C40B08">
        <w:rPr>
          <w:rFonts w:ascii="Calibri" w:hAnsi="Calibri"/>
        </w:rPr>
        <w:t xml:space="preserve">Environmental Research Letters </w:t>
      </w:r>
      <w:r w:rsidRPr="00C40B08">
        <w:rPr>
          <w:rFonts w:ascii="Calibri" w:hAnsi="Calibri"/>
        </w:rPr>
        <w:t>9 (2014) 114022 (8pp) doi:10.1088/1748-9326/9/11/114022.</w:t>
      </w:r>
    </w:p>
    <w:sectPr w:rsidR="00781701" w:rsidRPr="00C40B08" w:rsidSect="0088618A">
      <w:footerReference w:type="defaul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51863" w14:textId="77777777" w:rsidR="004A6C26" w:rsidRDefault="004A6C26" w:rsidP="00F21B21">
      <w:r>
        <w:separator/>
      </w:r>
    </w:p>
  </w:endnote>
  <w:endnote w:type="continuationSeparator" w:id="0">
    <w:p w14:paraId="7335A379" w14:textId="77777777" w:rsidR="004A6C26" w:rsidRDefault="004A6C26" w:rsidP="00F2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dv OT 86318 0fb+">
    <w:altName w:val="Calibri"/>
    <w:panose1 w:val="00000000000000000000"/>
    <w:charset w:val="00"/>
    <w:family w:val="swiss"/>
    <w:notTrueType/>
    <w:pitch w:val="default"/>
    <w:sig w:usb0="00000003" w:usb1="00000000" w:usb2="00000000" w:usb3="00000000" w:csb0="00000001" w:csb1="00000000"/>
  </w:font>
  <w:font w:name="Adv OT 860 8a 8d 1+">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062342"/>
      <w:docPartObj>
        <w:docPartGallery w:val="Page Numbers (Bottom of Page)"/>
        <w:docPartUnique/>
      </w:docPartObj>
    </w:sdtPr>
    <w:sdtEndPr>
      <w:rPr>
        <w:noProof/>
      </w:rPr>
    </w:sdtEndPr>
    <w:sdtContent>
      <w:p w14:paraId="0C4B3641" w14:textId="3ECBF852" w:rsidR="004A6C26" w:rsidRDefault="004A6C26">
        <w:pPr>
          <w:pStyle w:val="Footer"/>
          <w:jc w:val="center"/>
        </w:pPr>
        <w:r>
          <w:fldChar w:fldCharType="begin"/>
        </w:r>
        <w:r>
          <w:instrText xml:space="preserve"> PAGE   \* MERGEFORMAT </w:instrText>
        </w:r>
        <w:r>
          <w:fldChar w:fldCharType="separate"/>
        </w:r>
        <w:r w:rsidR="004706DA">
          <w:rPr>
            <w:noProof/>
          </w:rPr>
          <w:t>17</w:t>
        </w:r>
        <w:r>
          <w:rPr>
            <w:noProof/>
          </w:rPr>
          <w:fldChar w:fldCharType="end"/>
        </w:r>
      </w:p>
    </w:sdtContent>
  </w:sdt>
  <w:p w14:paraId="41C962C8" w14:textId="77777777" w:rsidR="004A6C26" w:rsidRDefault="004A6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062253"/>
      <w:docPartObj>
        <w:docPartGallery w:val="Page Numbers (Bottom of Page)"/>
        <w:docPartUnique/>
      </w:docPartObj>
    </w:sdtPr>
    <w:sdtEndPr>
      <w:rPr>
        <w:noProof/>
      </w:rPr>
    </w:sdtEndPr>
    <w:sdtContent>
      <w:p w14:paraId="34366040" w14:textId="1C586AE2" w:rsidR="004A6C26" w:rsidRDefault="004A6C26">
        <w:pPr>
          <w:pStyle w:val="Footer"/>
          <w:jc w:val="center"/>
        </w:pPr>
        <w:r>
          <w:fldChar w:fldCharType="begin"/>
        </w:r>
        <w:r>
          <w:instrText xml:space="preserve"> PAGE   \* MERGEFORMAT </w:instrText>
        </w:r>
        <w:r>
          <w:fldChar w:fldCharType="separate"/>
        </w:r>
        <w:r w:rsidR="004706DA">
          <w:rPr>
            <w:noProof/>
          </w:rPr>
          <w:t>19</w:t>
        </w:r>
        <w:r>
          <w:rPr>
            <w:noProof/>
          </w:rPr>
          <w:fldChar w:fldCharType="end"/>
        </w:r>
      </w:p>
    </w:sdtContent>
  </w:sdt>
  <w:p w14:paraId="25173ECF" w14:textId="77777777" w:rsidR="004A6C26" w:rsidRDefault="004A6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592CB" w14:textId="77777777" w:rsidR="004A6C26" w:rsidRDefault="004A6C26" w:rsidP="00F21B21">
      <w:r>
        <w:separator/>
      </w:r>
    </w:p>
  </w:footnote>
  <w:footnote w:type="continuationSeparator" w:id="0">
    <w:p w14:paraId="6EE1BFF0" w14:textId="77777777" w:rsidR="004A6C26" w:rsidRDefault="004A6C26" w:rsidP="00F21B21">
      <w:r>
        <w:continuationSeparator/>
      </w:r>
    </w:p>
  </w:footnote>
  <w:footnote w:id="1">
    <w:p w14:paraId="37A0B19D" w14:textId="77777777" w:rsidR="004A6C26" w:rsidRDefault="004A6C26" w:rsidP="00B50069">
      <w:pPr>
        <w:pStyle w:val="FootnoteText"/>
      </w:pPr>
      <w:r>
        <w:rPr>
          <w:rStyle w:val="FootnoteReference"/>
        </w:rPr>
        <w:footnoteRef/>
      </w:r>
      <w:r>
        <w:t xml:space="preserve"> </w:t>
      </w:r>
      <w:r w:rsidRPr="00753072">
        <w:rPr>
          <w:rFonts w:ascii="Calibri" w:hAnsi="Calibri"/>
        </w:rPr>
        <w:t>40 CFR Part 60 "Carbon Pollution Emission Guidelines for Existing Stationary Sources: Electric Utility Generating Units" (80 Fed. Reg. 64662, Oct. 23, 2015)</w:t>
      </w:r>
    </w:p>
  </w:footnote>
  <w:footnote w:id="2">
    <w:p w14:paraId="540D5551" w14:textId="77777777" w:rsidR="004A6C26" w:rsidRPr="005123E5" w:rsidRDefault="004A6C26" w:rsidP="00C601E2">
      <w:pPr>
        <w:rPr>
          <w:rFonts w:eastAsia="Times New Roman"/>
          <w:sz w:val="20"/>
          <w:szCs w:val="20"/>
        </w:rPr>
      </w:pPr>
      <w:r w:rsidRPr="005123E5">
        <w:rPr>
          <w:rStyle w:val="FootnoteReference"/>
          <w:sz w:val="20"/>
          <w:szCs w:val="20"/>
        </w:rPr>
        <w:footnoteRef/>
      </w:r>
      <w:r w:rsidRPr="005123E5">
        <w:rPr>
          <w:sz w:val="20"/>
          <w:szCs w:val="20"/>
        </w:rPr>
        <w:t xml:space="preserve"> </w:t>
      </w:r>
      <w:r w:rsidRPr="005123E5">
        <w:rPr>
          <w:rFonts w:eastAsia="Times New Roman"/>
          <w:sz w:val="20"/>
          <w:szCs w:val="20"/>
        </w:rPr>
        <w:t xml:space="preserve">2.3-3.2 cents/KWh represents only 55% </w:t>
      </w:r>
      <w:r>
        <w:rPr>
          <w:rFonts w:eastAsia="Times New Roman"/>
          <w:sz w:val="20"/>
          <w:szCs w:val="20"/>
        </w:rPr>
        <w:t>of the total resource cost of energy-efficiency</w:t>
      </w:r>
      <w:r w:rsidRPr="005123E5">
        <w:rPr>
          <w:rFonts w:eastAsia="Times New Roman"/>
          <w:sz w:val="20"/>
          <w:szCs w:val="20"/>
        </w:rPr>
        <w:t xml:space="preserve"> investments, assumed to be the utility portion of ratepayer funded EE; the assumed total resource cost is 4.2-5.8 cents/KWh. </w:t>
      </w:r>
    </w:p>
    <w:p w14:paraId="1E8EDEF1" w14:textId="77777777" w:rsidR="004A6C26" w:rsidRDefault="004A6C26" w:rsidP="00C601E2">
      <w:pPr>
        <w:pStyle w:val="FootnoteText"/>
      </w:pPr>
    </w:p>
  </w:footnote>
  <w:footnote w:id="3">
    <w:p w14:paraId="79FE468A" w14:textId="77777777" w:rsidR="004A6C26" w:rsidRDefault="004A6C26" w:rsidP="004C5405">
      <w:pPr>
        <w:pStyle w:val="FootnoteText"/>
      </w:pPr>
      <w:r>
        <w:rPr>
          <w:rStyle w:val="FootnoteReference"/>
        </w:rPr>
        <w:footnoteRef/>
      </w:r>
      <w:r>
        <w:t xml:space="preserve"> </w:t>
      </w:r>
      <w:r w:rsidRPr="00AC6932">
        <w:rPr>
          <w:sz w:val="16"/>
          <w:szCs w:val="16"/>
        </w:rPr>
        <w:t>http://www.eia.gov/todayinenergy/detail.cfm?id=26492</w:t>
      </w:r>
    </w:p>
  </w:footnote>
  <w:footnote w:id="4">
    <w:p w14:paraId="4F107D71" w14:textId="77777777" w:rsidR="004A6C26" w:rsidRDefault="004A6C26" w:rsidP="00985341">
      <w:pPr>
        <w:pStyle w:val="FootnoteText"/>
        <w:ind w:left="720" w:hanging="720"/>
      </w:pPr>
      <w:r>
        <w:rPr>
          <w:rStyle w:val="FootnoteReference"/>
        </w:rPr>
        <w:footnoteRef/>
      </w:r>
      <w:r>
        <w:t xml:space="preserve"> </w:t>
      </w:r>
      <w:r w:rsidRPr="00B42A7A">
        <w:t>http://energy.gov/articles/energy-department-announces-largest-energy-efficiency-standard-history</w:t>
      </w:r>
    </w:p>
  </w:footnote>
  <w:footnote w:id="5">
    <w:p w14:paraId="7ED51116" w14:textId="1E7D4AA2" w:rsidR="004A6C26" w:rsidRDefault="004A6C26">
      <w:pPr>
        <w:pStyle w:val="FootnoteText"/>
      </w:pPr>
      <w:r>
        <w:rPr>
          <w:rStyle w:val="FootnoteReference"/>
        </w:rPr>
        <w:footnoteRef/>
      </w:r>
      <w:r>
        <w:t xml:space="preserve"> The methodology of investment cost calculation can be found at Appendix Section 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58A3E" w14:textId="1E0760D3" w:rsidR="004A6C26" w:rsidRDefault="004A6C26" w:rsidP="008D281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B9EC3" w14:textId="382F108B" w:rsidR="004A6C26" w:rsidRDefault="004A6C26" w:rsidP="008D28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0313"/>
    <w:multiLevelType w:val="hybridMultilevel"/>
    <w:tmpl w:val="D402C78C"/>
    <w:lvl w:ilvl="0" w:tplc="B8C02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D49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4F04B9"/>
    <w:multiLevelType w:val="multilevel"/>
    <w:tmpl w:val="CDBC320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DF47722"/>
    <w:multiLevelType w:val="multilevel"/>
    <w:tmpl w:val="51CA05AE"/>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1E06886"/>
    <w:multiLevelType w:val="multilevel"/>
    <w:tmpl w:val="50A2C8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F21D1E"/>
    <w:multiLevelType w:val="multilevel"/>
    <w:tmpl w:val="9CCA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2021A"/>
    <w:multiLevelType w:val="hybridMultilevel"/>
    <w:tmpl w:val="AC58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49B"/>
    <w:rsid w:val="000013C7"/>
    <w:rsid w:val="0000190B"/>
    <w:rsid w:val="00003349"/>
    <w:rsid w:val="000035E4"/>
    <w:rsid w:val="000038EE"/>
    <w:rsid w:val="00003CB2"/>
    <w:rsid w:val="00004164"/>
    <w:rsid w:val="000050F6"/>
    <w:rsid w:val="000079E4"/>
    <w:rsid w:val="00012362"/>
    <w:rsid w:val="000134BD"/>
    <w:rsid w:val="00014F06"/>
    <w:rsid w:val="0001518C"/>
    <w:rsid w:val="00015B47"/>
    <w:rsid w:val="000175BB"/>
    <w:rsid w:val="0002440C"/>
    <w:rsid w:val="00024D2D"/>
    <w:rsid w:val="00034F39"/>
    <w:rsid w:val="00036A57"/>
    <w:rsid w:val="00036A84"/>
    <w:rsid w:val="0003732C"/>
    <w:rsid w:val="00040504"/>
    <w:rsid w:val="00041E7C"/>
    <w:rsid w:val="00043A9F"/>
    <w:rsid w:val="00050BE9"/>
    <w:rsid w:val="00050D98"/>
    <w:rsid w:val="0005188D"/>
    <w:rsid w:val="00053299"/>
    <w:rsid w:val="00053F80"/>
    <w:rsid w:val="00054767"/>
    <w:rsid w:val="00054BCF"/>
    <w:rsid w:val="00056983"/>
    <w:rsid w:val="00060E56"/>
    <w:rsid w:val="00061A54"/>
    <w:rsid w:val="00061CFB"/>
    <w:rsid w:val="00062844"/>
    <w:rsid w:val="000629E6"/>
    <w:rsid w:val="00064048"/>
    <w:rsid w:val="000656C9"/>
    <w:rsid w:val="00065C71"/>
    <w:rsid w:val="00073288"/>
    <w:rsid w:val="00082AAD"/>
    <w:rsid w:val="000862DA"/>
    <w:rsid w:val="00086A11"/>
    <w:rsid w:val="0009153F"/>
    <w:rsid w:val="00093941"/>
    <w:rsid w:val="00094BC4"/>
    <w:rsid w:val="00094F32"/>
    <w:rsid w:val="00095A27"/>
    <w:rsid w:val="0009760C"/>
    <w:rsid w:val="000978F8"/>
    <w:rsid w:val="000A36F3"/>
    <w:rsid w:val="000A4169"/>
    <w:rsid w:val="000A43C0"/>
    <w:rsid w:val="000A474F"/>
    <w:rsid w:val="000A54D6"/>
    <w:rsid w:val="000A5528"/>
    <w:rsid w:val="000B16D5"/>
    <w:rsid w:val="000C1F10"/>
    <w:rsid w:val="000C3D26"/>
    <w:rsid w:val="000C3DC6"/>
    <w:rsid w:val="000C65B4"/>
    <w:rsid w:val="000C6942"/>
    <w:rsid w:val="000C6987"/>
    <w:rsid w:val="000D19D4"/>
    <w:rsid w:val="000D1FB8"/>
    <w:rsid w:val="000D23AF"/>
    <w:rsid w:val="000D4148"/>
    <w:rsid w:val="000D4849"/>
    <w:rsid w:val="000D4A9D"/>
    <w:rsid w:val="000E1D65"/>
    <w:rsid w:val="000E2E29"/>
    <w:rsid w:val="000E3712"/>
    <w:rsid w:val="000E6753"/>
    <w:rsid w:val="000E70BC"/>
    <w:rsid w:val="000F2AB8"/>
    <w:rsid w:val="000F4A78"/>
    <w:rsid w:val="000F4DB1"/>
    <w:rsid w:val="000F572B"/>
    <w:rsid w:val="00106D35"/>
    <w:rsid w:val="0010741D"/>
    <w:rsid w:val="001077C1"/>
    <w:rsid w:val="001116A5"/>
    <w:rsid w:val="001126DC"/>
    <w:rsid w:val="001157F2"/>
    <w:rsid w:val="001244F9"/>
    <w:rsid w:val="001246A5"/>
    <w:rsid w:val="001302ED"/>
    <w:rsid w:val="001305E7"/>
    <w:rsid w:val="00130B72"/>
    <w:rsid w:val="001323B1"/>
    <w:rsid w:val="00133DB1"/>
    <w:rsid w:val="0013522D"/>
    <w:rsid w:val="00136071"/>
    <w:rsid w:val="001411ED"/>
    <w:rsid w:val="00143549"/>
    <w:rsid w:val="00144298"/>
    <w:rsid w:val="001501A7"/>
    <w:rsid w:val="00150CC6"/>
    <w:rsid w:val="001526D3"/>
    <w:rsid w:val="00152CA0"/>
    <w:rsid w:val="0015528A"/>
    <w:rsid w:val="00157A66"/>
    <w:rsid w:val="00160311"/>
    <w:rsid w:val="0016269B"/>
    <w:rsid w:val="00164471"/>
    <w:rsid w:val="00167149"/>
    <w:rsid w:val="00167DAF"/>
    <w:rsid w:val="00167E8C"/>
    <w:rsid w:val="00170484"/>
    <w:rsid w:val="0017419E"/>
    <w:rsid w:val="0017580D"/>
    <w:rsid w:val="00177BC8"/>
    <w:rsid w:val="001812C4"/>
    <w:rsid w:val="00181734"/>
    <w:rsid w:val="00185FC1"/>
    <w:rsid w:val="001861E7"/>
    <w:rsid w:val="001919F3"/>
    <w:rsid w:val="0019232F"/>
    <w:rsid w:val="00192C33"/>
    <w:rsid w:val="0019456A"/>
    <w:rsid w:val="001A10B6"/>
    <w:rsid w:val="001A23DB"/>
    <w:rsid w:val="001A2C71"/>
    <w:rsid w:val="001A3D30"/>
    <w:rsid w:val="001A46D0"/>
    <w:rsid w:val="001A554E"/>
    <w:rsid w:val="001A5616"/>
    <w:rsid w:val="001A64F0"/>
    <w:rsid w:val="001A7352"/>
    <w:rsid w:val="001B2681"/>
    <w:rsid w:val="001B269C"/>
    <w:rsid w:val="001B4D48"/>
    <w:rsid w:val="001B50B0"/>
    <w:rsid w:val="001B66CF"/>
    <w:rsid w:val="001B6C6D"/>
    <w:rsid w:val="001C4461"/>
    <w:rsid w:val="001D0728"/>
    <w:rsid w:val="001D3A7B"/>
    <w:rsid w:val="001D4214"/>
    <w:rsid w:val="001D5CF9"/>
    <w:rsid w:val="001D7008"/>
    <w:rsid w:val="001E4428"/>
    <w:rsid w:val="001E4CBA"/>
    <w:rsid w:val="001E799E"/>
    <w:rsid w:val="001E7AC4"/>
    <w:rsid w:val="001F00CF"/>
    <w:rsid w:val="001F1408"/>
    <w:rsid w:val="001F183A"/>
    <w:rsid w:val="001F1EF9"/>
    <w:rsid w:val="001F4FFF"/>
    <w:rsid w:val="001F5BF6"/>
    <w:rsid w:val="002008F7"/>
    <w:rsid w:val="00202FE2"/>
    <w:rsid w:val="00203B06"/>
    <w:rsid w:val="002067A2"/>
    <w:rsid w:val="00211A94"/>
    <w:rsid w:val="00213A58"/>
    <w:rsid w:val="00217B62"/>
    <w:rsid w:val="002205CF"/>
    <w:rsid w:val="0022184B"/>
    <w:rsid w:val="0022474E"/>
    <w:rsid w:val="00230CEB"/>
    <w:rsid w:val="0023682D"/>
    <w:rsid w:val="00242FA8"/>
    <w:rsid w:val="00244441"/>
    <w:rsid w:val="002457F7"/>
    <w:rsid w:val="002471C5"/>
    <w:rsid w:val="00247F03"/>
    <w:rsid w:val="002503E6"/>
    <w:rsid w:val="002568E9"/>
    <w:rsid w:val="00260568"/>
    <w:rsid w:val="002612E1"/>
    <w:rsid w:val="002625F7"/>
    <w:rsid w:val="0026440A"/>
    <w:rsid w:val="00265BA3"/>
    <w:rsid w:val="0026642B"/>
    <w:rsid w:val="002665FC"/>
    <w:rsid w:val="002668CB"/>
    <w:rsid w:val="00276D28"/>
    <w:rsid w:val="002822B9"/>
    <w:rsid w:val="00283E24"/>
    <w:rsid w:val="00284887"/>
    <w:rsid w:val="00284D74"/>
    <w:rsid w:val="00285054"/>
    <w:rsid w:val="0028518A"/>
    <w:rsid w:val="00290E71"/>
    <w:rsid w:val="002913D5"/>
    <w:rsid w:val="00292CDB"/>
    <w:rsid w:val="002932AE"/>
    <w:rsid w:val="00297A78"/>
    <w:rsid w:val="002A3125"/>
    <w:rsid w:val="002A3274"/>
    <w:rsid w:val="002A3C8A"/>
    <w:rsid w:val="002A7616"/>
    <w:rsid w:val="002B2204"/>
    <w:rsid w:val="002B6650"/>
    <w:rsid w:val="002B6AB1"/>
    <w:rsid w:val="002B727B"/>
    <w:rsid w:val="002C04BE"/>
    <w:rsid w:val="002C178A"/>
    <w:rsid w:val="002C27BA"/>
    <w:rsid w:val="002C3760"/>
    <w:rsid w:val="002C3797"/>
    <w:rsid w:val="002C3F3E"/>
    <w:rsid w:val="002C60B3"/>
    <w:rsid w:val="002D1374"/>
    <w:rsid w:val="002D28F9"/>
    <w:rsid w:val="002D3250"/>
    <w:rsid w:val="002D3772"/>
    <w:rsid w:val="002D5593"/>
    <w:rsid w:val="002E2E22"/>
    <w:rsid w:val="002E3614"/>
    <w:rsid w:val="002E42DE"/>
    <w:rsid w:val="002E48AB"/>
    <w:rsid w:val="002F0396"/>
    <w:rsid w:val="002F22E4"/>
    <w:rsid w:val="002F4781"/>
    <w:rsid w:val="002F768E"/>
    <w:rsid w:val="0030313B"/>
    <w:rsid w:val="003036B6"/>
    <w:rsid w:val="00307D7D"/>
    <w:rsid w:val="00314785"/>
    <w:rsid w:val="00316470"/>
    <w:rsid w:val="00317AF2"/>
    <w:rsid w:val="003208ED"/>
    <w:rsid w:val="0032193C"/>
    <w:rsid w:val="00325B3D"/>
    <w:rsid w:val="003267A7"/>
    <w:rsid w:val="00326E5A"/>
    <w:rsid w:val="003276ED"/>
    <w:rsid w:val="00332D42"/>
    <w:rsid w:val="003335D8"/>
    <w:rsid w:val="003341CE"/>
    <w:rsid w:val="00336485"/>
    <w:rsid w:val="0034122A"/>
    <w:rsid w:val="003414B0"/>
    <w:rsid w:val="0034249D"/>
    <w:rsid w:val="00343A2D"/>
    <w:rsid w:val="00353DCD"/>
    <w:rsid w:val="003606AC"/>
    <w:rsid w:val="00362BE1"/>
    <w:rsid w:val="00363A2D"/>
    <w:rsid w:val="00370244"/>
    <w:rsid w:val="00372400"/>
    <w:rsid w:val="00380115"/>
    <w:rsid w:val="00382E2D"/>
    <w:rsid w:val="00383CAC"/>
    <w:rsid w:val="00384835"/>
    <w:rsid w:val="00394541"/>
    <w:rsid w:val="00394DD5"/>
    <w:rsid w:val="003A0F57"/>
    <w:rsid w:val="003A1514"/>
    <w:rsid w:val="003A271A"/>
    <w:rsid w:val="003B0532"/>
    <w:rsid w:val="003B1205"/>
    <w:rsid w:val="003C1E75"/>
    <w:rsid w:val="003C3B17"/>
    <w:rsid w:val="003C65F7"/>
    <w:rsid w:val="003D08D5"/>
    <w:rsid w:val="003D0F40"/>
    <w:rsid w:val="003D46CC"/>
    <w:rsid w:val="003D5C3B"/>
    <w:rsid w:val="003D61C2"/>
    <w:rsid w:val="003D70A0"/>
    <w:rsid w:val="003E5B8C"/>
    <w:rsid w:val="003E7B4F"/>
    <w:rsid w:val="003F04FC"/>
    <w:rsid w:val="003F182F"/>
    <w:rsid w:val="003F271F"/>
    <w:rsid w:val="003F273A"/>
    <w:rsid w:val="003F2808"/>
    <w:rsid w:val="003F3E0F"/>
    <w:rsid w:val="003F3F2B"/>
    <w:rsid w:val="003F43F1"/>
    <w:rsid w:val="003F6BB5"/>
    <w:rsid w:val="00403809"/>
    <w:rsid w:val="00403813"/>
    <w:rsid w:val="00403D21"/>
    <w:rsid w:val="00405BC7"/>
    <w:rsid w:val="00410B7A"/>
    <w:rsid w:val="00410D41"/>
    <w:rsid w:val="00411443"/>
    <w:rsid w:val="004140BA"/>
    <w:rsid w:val="00415C54"/>
    <w:rsid w:val="00417EAB"/>
    <w:rsid w:val="00421CC9"/>
    <w:rsid w:val="00423691"/>
    <w:rsid w:val="004252F1"/>
    <w:rsid w:val="004256B3"/>
    <w:rsid w:val="00425D52"/>
    <w:rsid w:val="00426C5D"/>
    <w:rsid w:val="00426D60"/>
    <w:rsid w:val="00430A50"/>
    <w:rsid w:val="00437428"/>
    <w:rsid w:val="004379B9"/>
    <w:rsid w:val="004409AB"/>
    <w:rsid w:val="004422CD"/>
    <w:rsid w:val="004425BA"/>
    <w:rsid w:val="00442C84"/>
    <w:rsid w:val="004437C3"/>
    <w:rsid w:val="0044590F"/>
    <w:rsid w:val="00455109"/>
    <w:rsid w:val="00456235"/>
    <w:rsid w:val="00465866"/>
    <w:rsid w:val="00467AB4"/>
    <w:rsid w:val="0047029A"/>
    <w:rsid w:val="004706DA"/>
    <w:rsid w:val="00470BC9"/>
    <w:rsid w:val="00470D4B"/>
    <w:rsid w:val="004742EB"/>
    <w:rsid w:val="00475AC6"/>
    <w:rsid w:val="0048027C"/>
    <w:rsid w:val="004823CC"/>
    <w:rsid w:val="00486415"/>
    <w:rsid w:val="004919FD"/>
    <w:rsid w:val="00492E3A"/>
    <w:rsid w:val="00493340"/>
    <w:rsid w:val="00496A0F"/>
    <w:rsid w:val="004A045A"/>
    <w:rsid w:val="004A11A1"/>
    <w:rsid w:val="004A201F"/>
    <w:rsid w:val="004A56B6"/>
    <w:rsid w:val="004A6C26"/>
    <w:rsid w:val="004A6E02"/>
    <w:rsid w:val="004B0A8F"/>
    <w:rsid w:val="004B531D"/>
    <w:rsid w:val="004B6607"/>
    <w:rsid w:val="004B7BCA"/>
    <w:rsid w:val="004B7E6E"/>
    <w:rsid w:val="004C1007"/>
    <w:rsid w:val="004C3410"/>
    <w:rsid w:val="004C49CC"/>
    <w:rsid w:val="004C5405"/>
    <w:rsid w:val="004C6C54"/>
    <w:rsid w:val="004C6F91"/>
    <w:rsid w:val="004C7080"/>
    <w:rsid w:val="004D0795"/>
    <w:rsid w:val="004D09F9"/>
    <w:rsid w:val="004D1B3E"/>
    <w:rsid w:val="004D2C33"/>
    <w:rsid w:val="004D3400"/>
    <w:rsid w:val="004D6D26"/>
    <w:rsid w:val="004D7C16"/>
    <w:rsid w:val="004E192D"/>
    <w:rsid w:val="004E3F0E"/>
    <w:rsid w:val="004E5535"/>
    <w:rsid w:val="004E6943"/>
    <w:rsid w:val="004F0597"/>
    <w:rsid w:val="004F2F64"/>
    <w:rsid w:val="004F79FE"/>
    <w:rsid w:val="0050061B"/>
    <w:rsid w:val="0050116A"/>
    <w:rsid w:val="00504D55"/>
    <w:rsid w:val="005067DA"/>
    <w:rsid w:val="00510CB2"/>
    <w:rsid w:val="005123E5"/>
    <w:rsid w:val="00512488"/>
    <w:rsid w:val="0051328A"/>
    <w:rsid w:val="00516E50"/>
    <w:rsid w:val="00517C30"/>
    <w:rsid w:val="00517F92"/>
    <w:rsid w:val="00520F6B"/>
    <w:rsid w:val="005220D6"/>
    <w:rsid w:val="00530D8D"/>
    <w:rsid w:val="005317F1"/>
    <w:rsid w:val="0053567F"/>
    <w:rsid w:val="005356F9"/>
    <w:rsid w:val="0053629A"/>
    <w:rsid w:val="00536D77"/>
    <w:rsid w:val="005415C2"/>
    <w:rsid w:val="0054375E"/>
    <w:rsid w:val="00543DD2"/>
    <w:rsid w:val="00544BE4"/>
    <w:rsid w:val="00553ABD"/>
    <w:rsid w:val="00553FF0"/>
    <w:rsid w:val="005540E6"/>
    <w:rsid w:val="00554CAC"/>
    <w:rsid w:val="00555108"/>
    <w:rsid w:val="005574DD"/>
    <w:rsid w:val="00561560"/>
    <w:rsid w:val="0056755B"/>
    <w:rsid w:val="00571CC0"/>
    <w:rsid w:val="00571F9C"/>
    <w:rsid w:val="00572283"/>
    <w:rsid w:val="00576150"/>
    <w:rsid w:val="00580279"/>
    <w:rsid w:val="00580B25"/>
    <w:rsid w:val="00581262"/>
    <w:rsid w:val="005845E9"/>
    <w:rsid w:val="00587007"/>
    <w:rsid w:val="00590917"/>
    <w:rsid w:val="00593CF4"/>
    <w:rsid w:val="00593D0F"/>
    <w:rsid w:val="0059620D"/>
    <w:rsid w:val="005A115E"/>
    <w:rsid w:val="005A2B0F"/>
    <w:rsid w:val="005A2B3D"/>
    <w:rsid w:val="005B0848"/>
    <w:rsid w:val="005B0EC8"/>
    <w:rsid w:val="005B3840"/>
    <w:rsid w:val="005B4A23"/>
    <w:rsid w:val="005C09A7"/>
    <w:rsid w:val="005C47FE"/>
    <w:rsid w:val="005C6DB4"/>
    <w:rsid w:val="005C7D6A"/>
    <w:rsid w:val="005D0222"/>
    <w:rsid w:val="005D24B5"/>
    <w:rsid w:val="005D548F"/>
    <w:rsid w:val="005D61FB"/>
    <w:rsid w:val="005E26A4"/>
    <w:rsid w:val="005E2CB2"/>
    <w:rsid w:val="005E3BF7"/>
    <w:rsid w:val="005E597B"/>
    <w:rsid w:val="005E6901"/>
    <w:rsid w:val="005E6AE4"/>
    <w:rsid w:val="005F078D"/>
    <w:rsid w:val="005F0811"/>
    <w:rsid w:val="005F4E8C"/>
    <w:rsid w:val="0060013E"/>
    <w:rsid w:val="00603740"/>
    <w:rsid w:val="006039D9"/>
    <w:rsid w:val="00605F66"/>
    <w:rsid w:val="00613C15"/>
    <w:rsid w:val="006232FA"/>
    <w:rsid w:val="00623EAD"/>
    <w:rsid w:val="00625118"/>
    <w:rsid w:val="00626AA7"/>
    <w:rsid w:val="00630469"/>
    <w:rsid w:val="00633818"/>
    <w:rsid w:val="0064097D"/>
    <w:rsid w:val="006429B1"/>
    <w:rsid w:val="00642E82"/>
    <w:rsid w:val="00643955"/>
    <w:rsid w:val="00644580"/>
    <w:rsid w:val="0064462B"/>
    <w:rsid w:val="00646A12"/>
    <w:rsid w:val="00654111"/>
    <w:rsid w:val="00654C44"/>
    <w:rsid w:val="00655037"/>
    <w:rsid w:val="006567B6"/>
    <w:rsid w:val="00657D0D"/>
    <w:rsid w:val="00661CB6"/>
    <w:rsid w:val="00661D71"/>
    <w:rsid w:val="00661EEB"/>
    <w:rsid w:val="006629ED"/>
    <w:rsid w:val="00663C32"/>
    <w:rsid w:val="006663FC"/>
    <w:rsid w:val="0066699D"/>
    <w:rsid w:val="00675F0A"/>
    <w:rsid w:val="00681FCA"/>
    <w:rsid w:val="006823A7"/>
    <w:rsid w:val="006840DC"/>
    <w:rsid w:val="00687345"/>
    <w:rsid w:val="00687794"/>
    <w:rsid w:val="006878F6"/>
    <w:rsid w:val="00687C45"/>
    <w:rsid w:val="00687D68"/>
    <w:rsid w:val="00690911"/>
    <w:rsid w:val="00692B1B"/>
    <w:rsid w:val="006937EB"/>
    <w:rsid w:val="006A1FED"/>
    <w:rsid w:val="006A23DB"/>
    <w:rsid w:val="006A2C40"/>
    <w:rsid w:val="006A4739"/>
    <w:rsid w:val="006A6C64"/>
    <w:rsid w:val="006A74F9"/>
    <w:rsid w:val="006B0D76"/>
    <w:rsid w:val="006B1196"/>
    <w:rsid w:val="006B33E4"/>
    <w:rsid w:val="006B70AA"/>
    <w:rsid w:val="006B70CF"/>
    <w:rsid w:val="006B7E12"/>
    <w:rsid w:val="006C02FD"/>
    <w:rsid w:val="006C32A9"/>
    <w:rsid w:val="006C4966"/>
    <w:rsid w:val="006D031F"/>
    <w:rsid w:val="006D0F3E"/>
    <w:rsid w:val="006D352A"/>
    <w:rsid w:val="006D3D4E"/>
    <w:rsid w:val="006D4996"/>
    <w:rsid w:val="006D56D0"/>
    <w:rsid w:val="006D63D9"/>
    <w:rsid w:val="006D6F49"/>
    <w:rsid w:val="006E23EE"/>
    <w:rsid w:val="006E2FD6"/>
    <w:rsid w:val="006E34FA"/>
    <w:rsid w:val="006E4151"/>
    <w:rsid w:val="006E484A"/>
    <w:rsid w:val="006F3B29"/>
    <w:rsid w:val="006F4C92"/>
    <w:rsid w:val="006F4FBE"/>
    <w:rsid w:val="007005DB"/>
    <w:rsid w:val="0070191F"/>
    <w:rsid w:val="00701F1A"/>
    <w:rsid w:val="00704FDB"/>
    <w:rsid w:val="0070549F"/>
    <w:rsid w:val="00706489"/>
    <w:rsid w:val="00707E02"/>
    <w:rsid w:val="00712FD1"/>
    <w:rsid w:val="00714949"/>
    <w:rsid w:val="0072015F"/>
    <w:rsid w:val="0072183B"/>
    <w:rsid w:val="0072515E"/>
    <w:rsid w:val="00725601"/>
    <w:rsid w:val="007263C4"/>
    <w:rsid w:val="00727729"/>
    <w:rsid w:val="00731C42"/>
    <w:rsid w:val="00735501"/>
    <w:rsid w:val="00740529"/>
    <w:rsid w:val="00740FAB"/>
    <w:rsid w:val="007416DF"/>
    <w:rsid w:val="00743DD3"/>
    <w:rsid w:val="007447AB"/>
    <w:rsid w:val="00747E45"/>
    <w:rsid w:val="0075106A"/>
    <w:rsid w:val="00751AA1"/>
    <w:rsid w:val="00751EAA"/>
    <w:rsid w:val="00752AB5"/>
    <w:rsid w:val="00753072"/>
    <w:rsid w:val="00754700"/>
    <w:rsid w:val="00763002"/>
    <w:rsid w:val="00763353"/>
    <w:rsid w:val="007647FA"/>
    <w:rsid w:val="0076535F"/>
    <w:rsid w:val="007679B6"/>
    <w:rsid w:val="00770CF0"/>
    <w:rsid w:val="00772940"/>
    <w:rsid w:val="0077305D"/>
    <w:rsid w:val="00774CF6"/>
    <w:rsid w:val="00775307"/>
    <w:rsid w:val="00776474"/>
    <w:rsid w:val="0077697F"/>
    <w:rsid w:val="00780C05"/>
    <w:rsid w:val="00780CB5"/>
    <w:rsid w:val="00781701"/>
    <w:rsid w:val="00783E52"/>
    <w:rsid w:val="00793200"/>
    <w:rsid w:val="00795FBE"/>
    <w:rsid w:val="007960BD"/>
    <w:rsid w:val="007A0B38"/>
    <w:rsid w:val="007A3A14"/>
    <w:rsid w:val="007B3F14"/>
    <w:rsid w:val="007C1476"/>
    <w:rsid w:val="007C1BF9"/>
    <w:rsid w:val="007C688F"/>
    <w:rsid w:val="007C7A9E"/>
    <w:rsid w:val="007D0C8E"/>
    <w:rsid w:val="007D27AE"/>
    <w:rsid w:val="007D349B"/>
    <w:rsid w:val="007D69CF"/>
    <w:rsid w:val="007E19F0"/>
    <w:rsid w:val="007E3A38"/>
    <w:rsid w:val="007E5CD3"/>
    <w:rsid w:val="007F076B"/>
    <w:rsid w:val="007F09D1"/>
    <w:rsid w:val="007F7519"/>
    <w:rsid w:val="00800A85"/>
    <w:rsid w:val="00803684"/>
    <w:rsid w:val="00807191"/>
    <w:rsid w:val="008101A6"/>
    <w:rsid w:val="00812769"/>
    <w:rsid w:val="00813A2F"/>
    <w:rsid w:val="00813F36"/>
    <w:rsid w:val="008166D0"/>
    <w:rsid w:val="00816915"/>
    <w:rsid w:val="00821BCF"/>
    <w:rsid w:val="008222EF"/>
    <w:rsid w:val="008237D9"/>
    <w:rsid w:val="0082684B"/>
    <w:rsid w:val="00826D5C"/>
    <w:rsid w:val="008344E5"/>
    <w:rsid w:val="00834BB9"/>
    <w:rsid w:val="00834F61"/>
    <w:rsid w:val="00836F36"/>
    <w:rsid w:val="00842895"/>
    <w:rsid w:val="00850D69"/>
    <w:rsid w:val="00851626"/>
    <w:rsid w:val="00851FDF"/>
    <w:rsid w:val="0085240C"/>
    <w:rsid w:val="00855D0A"/>
    <w:rsid w:val="00857BAD"/>
    <w:rsid w:val="00862446"/>
    <w:rsid w:val="0086296C"/>
    <w:rsid w:val="008629B2"/>
    <w:rsid w:val="00863A4B"/>
    <w:rsid w:val="00865005"/>
    <w:rsid w:val="0086522F"/>
    <w:rsid w:val="00866D21"/>
    <w:rsid w:val="0087288C"/>
    <w:rsid w:val="00874354"/>
    <w:rsid w:val="008768EC"/>
    <w:rsid w:val="00880947"/>
    <w:rsid w:val="0088618A"/>
    <w:rsid w:val="00891113"/>
    <w:rsid w:val="00892612"/>
    <w:rsid w:val="00893295"/>
    <w:rsid w:val="00895142"/>
    <w:rsid w:val="00896F3F"/>
    <w:rsid w:val="008A3777"/>
    <w:rsid w:val="008A58E4"/>
    <w:rsid w:val="008A7464"/>
    <w:rsid w:val="008B0432"/>
    <w:rsid w:val="008B3ADC"/>
    <w:rsid w:val="008C06B5"/>
    <w:rsid w:val="008C12A2"/>
    <w:rsid w:val="008C12E4"/>
    <w:rsid w:val="008C19DA"/>
    <w:rsid w:val="008C7EED"/>
    <w:rsid w:val="008D281D"/>
    <w:rsid w:val="008D4DBE"/>
    <w:rsid w:val="008D5387"/>
    <w:rsid w:val="008D626E"/>
    <w:rsid w:val="008E01F6"/>
    <w:rsid w:val="008E06D7"/>
    <w:rsid w:val="008E63B6"/>
    <w:rsid w:val="008E6946"/>
    <w:rsid w:val="008F24CA"/>
    <w:rsid w:val="008F2E31"/>
    <w:rsid w:val="008F3542"/>
    <w:rsid w:val="008F3CE0"/>
    <w:rsid w:val="008F5E61"/>
    <w:rsid w:val="0090059C"/>
    <w:rsid w:val="009005F0"/>
    <w:rsid w:val="00902578"/>
    <w:rsid w:val="00911AA7"/>
    <w:rsid w:val="00913433"/>
    <w:rsid w:val="0091396B"/>
    <w:rsid w:val="00914566"/>
    <w:rsid w:val="0091743D"/>
    <w:rsid w:val="00921A75"/>
    <w:rsid w:val="009258FC"/>
    <w:rsid w:val="00930C8C"/>
    <w:rsid w:val="0093132F"/>
    <w:rsid w:val="00933A97"/>
    <w:rsid w:val="00933E5F"/>
    <w:rsid w:val="00943B26"/>
    <w:rsid w:val="009440FA"/>
    <w:rsid w:val="00947355"/>
    <w:rsid w:val="00951E73"/>
    <w:rsid w:val="00953698"/>
    <w:rsid w:val="009557ED"/>
    <w:rsid w:val="00957575"/>
    <w:rsid w:val="00961F4C"/>
    <w:rsid w:val="00963FD2"/>
    <w:rsid w:val="009663A4"/>
    <w:rsid w:val="00966649"/>
    <w:rsid w:val="00970466"/>
    <w:rsid w:val="00970955"/>
    <w:rsid w:val="0097137F"/>
    <w:rsid w:val="00971A33"/>
    <w:rsid w:val="00982707"/>
    <w:rsid w:val="00984C66"/>
    <w:rsid w:val="00985088"/>
    <w:rsid w:val="00985341"/>
    <w:rsid w:val="00992D6F"/>
    <w:rsid w:val="00992F6D"/>
    <w:rsid w:val="009936AF"/>
    <w:rsid w:val="00995FD8"/>
    <w:rsid w:val="00996116"/>
    <w:rsid w:val="00996982"/>
    <w:rsid w:val="009974E5"/>
    <w:rsid w:val="009A37BB"/>
    <w:rsid w:val="009A3B68"/>
    <w:rsid w:val="009A623D"/>
    <w:rsid w:val="009A665E"/>
    <w:rsid w:val="009B048D"/>
    <w:rsid w:val="009B543E"/>
    <w:rsid w:val="009C13B2"/>
    <w:rsid w:val="009C2D60"/>
    <w:rsid w:val="009C41D8"/>
    <w:rsid w:val="009C66F5"/>
    <w:rsid w:val="009C6DDB"/>
    <w:rsid w:val="009C7F41"/>
    <w:rsid w:val="009D0571"/>
    <w:rsid w:val="009D0E26"/>
    <w:rsid w:val="009D4805"/>
    <w:rsid w:val="009D5955"/>
    <w:rsid w:val="009E0A50"/>
    <w:rsid w:val="009E4F34"/>
    <w:rsid w:val="009E7EF8"/>
    <w:rsid w:val="009F770C"/>
    <w:rsid w:val="009F78F1"/>
    <w:rsid w:val="00A0005D"/>
    <w:rsid w:val="00A01235"/>
    <w:rsid w:val="00A02A72"/>
    <w:rsid w:val="00A03EDC"/>
    <w:rsid w:val="00A044FB"/>
    <w:rsid w:val="00A05D3A"/>
    <w:rsid w:val="00A105D9"/>
    <w:rsid w:val="00A10DA0"/>
    <w:rsid w:val="00A136E3"/>
    <w:rsid w:val="00A147B4"/>
    <w:rsid w:val="00A1613D"/>
    <w:rsid w:val="00A17141"/>
    <w:rsid w:val="00A2048F"/>
    <w:rsid w:val="00A2216A"/>
    <w:rsid w:val="00A32777"/>
    <w:rsid w:val="00A34648"/>
    <w:rsid w:val="00A35FF0"/>
    <w:rsid w:val="00A361BF"/>
    <w:rsid w:val="00A369DC"/>
    <w:rsid w:val="00A43540"/>
    <w:rsid w:val="00A44FFD"/>
    <w:rsid w:val="00A45A48"/>
    <w:rsid w:val="00A460A7"/>
    <w:rsid w:val="00A46C06"/>
    <w:rsid w:val="00A50E43"/>
    <w:rsid w:val="00A531EB"/>
    <w:rsid w:val="00A532A9"/>
    <w:rsid w:val="00A565CA"/>
    <w:rsid w:val="00A647DB"/>
    <w:rsid w:val="00A64CD2"/>
    <w:rsid w:val="00A65652"/>
    <w:rsid w:val="00A65F60"/>
    <w:rsid w:val="00A66474"/>
    <w:rsid w:val="00A66635"/>
    <w:rsid w:val="00A73C27"/>
    <w:rsid w:val="00A7411A"/>
    <w:rsid w:val="00A7760E"/>
    <w:rsid w:val="00A77C46"/>
    <w:rsid w:val="00A81006"/>
    <w:rsid w:val="00A819DC"/>
    <w:rsid w:val="00A81E7B"/>
    <w:rsid w:val="00A82E64"/>
    <w:rsid w:val="00A84FCD"/>
    <w:rsid w:val="00A874C4"/>
    <w:rsid w:val="00A9294B"/>
    <w:rsid w:val="00A95498"/>
    <w:rsid w:val="00A95C01"/>
    <w:rsid w:val="00A96BC2"/>
    <w:rsid w:val="00A971EA"/>
    <w:rsid w:val="00A97DEA"/>
    <w:rsid w:val="00AA186F"/>
    <w:rsid w:val="00AA55E1"/>
    <w:rsid w:val="00AA56BE"/>
    <w:rsid w:val="00AB0360"/>
    <w:rsid w:val="00AB4681"/>
    <w:rsid w:val="00AB4EA0"/>
    <w:rsid w:val="00AB55CA"/>
    <w:rsid w:val="00AC1FA9"/>
    <w:rsid w:val="00AC31D0"/>
    <w:rsid w:val="00AC3437"/>
    <w:rsid w:val="00AC3E46"/>
    <w:rsid w:val="00AD013F"/>
    <w:rsid w:val="00AD0E16"/>
    <w:rsid w:val="00AD1056"/>
    <w:rsid w:val="00AD1F6D"/>
    <w:rsid w:val="00AD2619"/>
    <w:rsid w:val="00AD31B8"/>
    <w:rsid w:val="00AE009B"/>
    <w:rsid w:val="00AE3E1B"/>
    <w:rsid w:val="00AE48E9"/>
    <w:rsid w:val="00AE4E38"/>
    <w:rsid w:val="00AE750A"/>
    <w:rsid w:val="00AE7ECF"/>
    <w:rsid w:val="00AF2455"/>
    <w:rsid w:val="00AF5126"/>
    <w:rsid w:val="00AF60B5"/>
    <w:rsid w:val="00AF6ADC"/>
    <w:rsid w:val="00AF6D4D"/>
    <w:rsid w:val="00B00349"/>
    <w:rsid w:val="00B01ACA"/>
    <w:rsid w:val="00B02297"/>
    <w:rsid w:val="00B04729"/>
    <w:rsid w:val="00B05953"/>
    <w:rsid w:val="00B07ABF"/>
    <w:rsid w:val="00B12DE5"/>
    <w:rsid w:val="00B131AB"/>
    <w:rsid w:val="00B1742D"/>
    <w:rsid w:val="00B1789D"/>
    <w:rsid w:val="00B20EA9"/>
    <w:rsid w:val="00B21A39"/>
    <w:rsid w:val="00B2596D"/>
    <w:rsid w:val="00B26E13"/>
    <w:rsid w:val="00B30363"/>
    <w:rsid w:val="00B322A3"/>
    <w:rsid w:val="00B3326D"/>
    <w:rsid w:val="00B356F0"/>
    <w:rsid w:val="00B44461"/>
    <w:rsid w:val="00B45645"/>
    <w:rsid w:val="00B50069"/>
    <w:rsid w:val="00B5724E"/>
    <w:rsid w:val="00B72E13"/>
    <w:rsid w:val="00B8045C"/>
    <w:rsid w:val="00B808A0"/>
    <w:rsid w:val="00B818FE"/>
    <w:rsid w:val="00B82549"/>
    <w:rsid w:val="00B82A66"/>
    <w:rsid w:val="00B83ADB"/>
    <w:rsid w:val="00B841E4"/>
    <w:rsid w:val="00B86A90"/>
    <w:rsid w:val="00B93BC2"/>
    <w:rsid w:val="00B94839"/>
    <w:rsid w:val="00BA1EB3"/>
    <w:rsid w:val="00BA42A5"/>
    <w:rsid w:val="00BB1B4E"/>
    <w:rsid w:val="00BB23CF"/>
    <w:rsid w:val="00BB3EDA"/>
    <w:rsid w:val="00BB404B"/>
    <w:rsid w:val="00BB609A"/>
    <w:rsid w:val="00BB648F"/>
    <w:rsid w:val="00BC2752"/>
    <w:rsid w:val="00BC66A8"/>
    <w:rsid w:val="00BD0169"/>
    <w:rsid w:val="00BD09DD"/>
    <w:rsid w:val="00BD333F"/>
    <w:rsid w:val="00BD414A"/>
    <w:rsid w:val="00BD55DD"/>
    <w:rsid w:val="00BE0471"/>
    <w:rsid w:val="00BE0726"/>
    <w:rsid w:val="00BE3615"/>
    <w:rsid w:val="00BE4BAA"/>
    <w:rsid w:val="00BE6846"/>
    <w:rsid w:val="00BF02A2"/>
    <w:rsid w:val="00BF293E"/>
    <w:rsid w:val="00BF4E3C"/>
    <w:rsid w:val="00BF5E7D"/>
    <w:rsid w:val="00BF7B4E"/>
    <w:rsid w:val="00C00633"/>
    <w:rsid w:val="00C02595"/>
    <w:rsid w:val="00C06E47"/>
    <w:rsid w:val="00C158AD"/>
    <w:rsid w:val="00C208FC"/>
    <w:rsid w:val="00C31BAA"/>
    <w:rsid w:val="00C31BC3"/>
    <w:rsid w:val="00C328D2"/>
    <w:rsid w:val="00C34D67"/>
    <w:rsid w:val="00C36132"/>
    <w:rsid w:val="00C369A0"/>
    <w:rsid w:val="00C37464"/>
    <w:rsid w:val="00C4004E"/>
    <w:rsid w:val="00C40B08"/>
    <w:rsid w:val="00C44672"/>
    <w:rsid w:val="00C44943"/>
    <w:rsid w:val="00C46F80"/>
    <w:rsid w:val="00C5013F"/>
    <w:rsid w:val="00C51ABF"/>
    <w:rsid w:val="00C52206"/>
    <w:rsid w:val="00C52798"/>
    <w:rsid w:val="00C542AE"/>
    <w:rsid w:val="00C54F1D"/>
    <w:rsid w:val="00C55250"/>
    <w:rsid w:val="00C5596A"/>
    <w:rsid w:val="00C601E2"/>
    <w:rsid w:val="00C601EE"/>
    <w:rsid w:val="00C60B3F"/>
    <w:rsid w:val="00C6761D"/>
    <w:rsid w:val="00C70D69"/>
    <w:rsid w:val="00C80C4C"/>
    <w:rsid w:val="00C81C6B"/>
    <w:rsid w:val="00C82871"/>
    <w:rsid w:val="00C83CDF"/>
    <w:rsid w:val="00C8426E"/>
    <w:rsid w:val="00C87473"/>
    <w:rsid w:val="00C87B4B"/>
    <w:rsid w:val="00C935DA"/>
    <w:rsid w:val="00C93791"/>
    <w:rsid w:val="00C93DB4"/>
    <w:rsid w:val="00C94CF4"/>
    <w:rsid w:val="00C9614E"/>
    <w:rsid w:val="00C96C6D"/>
    <w:rsid w:val="00CA0FCD"/>
    <w:rsid w:val="00CA3737"/>
    <w:rsid w:val="00CA6589"/>
    <w:rsid w:val="00CA7036"/>
    <w:rsid w:val="00CB1417"/>
    <w:rsid w:val="00CB257A"/>
    <w:rsid w:val="00CB477E"/>
    <w:rsid w:val="00CB48EE"/>
    <w:rsid w:val="00CB5103"/>
    <w:rsid w:val="00CB5F6A"/>
    <w:rsid w:val="00CB67CE"/>
    <w:rsid w:val="00CB6F41"/>
    <w:rsid w:val="00CD24C0"/>
    <w:rsid w:val="00CD270F"/>
    <w:rsid w:val="00CD7F4C"/>
    <w:rsid w:val="00CE1AB6"/>
    <w:rsid w:val="00CE2F89"/>
    <w:rsid w:val="00CE4046"/>
    <w:rsid w:val="00CE5A0E"/>
    <w:rsid w:val="00CE73CF"/>
    <w:rsid w:val="00CF4407"/>
    <w:rsid w:val="00CF75DC"/>
    <w:rsid w:val="00D027D7"/>
    <w:rsid w:val="00D03F56"/>
    <w:rsid w:val="00D04701"/>
    <w:rsid w:val="00D0674D"/>
    <w:rsid w:val="00D10A5E"/>
    <w:rsid w:val="00D116BD"/>
    <w:rsid w:val="00D15B52"/>
    <w:rsid w:val="00D16D04"/>
    <w:rsid w:val="00D25079"/>
    <w:rsid w:val="00D30A6C"/>
    <w:rsid w:val="00D32C10"/>
    <w:rsid w:val="00D33853"/>
    <w:rsid w:val="00D34680"/>
    <w:rsid w:val="00D35686"/>
    <w:rsid w:val="00D35F40"/>
    <w:rsid w:val="00D44075"/>
    <w:rsid w:val="00D4582E"/>
    <w:rsid w:val="00D45AFD"/>
    <w:rsid w:val="00D47E74"/>
    <w:rsid w:val="00D54E66"/>
    <w:rsid w:val="00D63DCC"/>
    <w:rsid w:val="00D6685B"/>
    <w:rsid w:val="00D703C7"/>
    <w:rsid w:val="00D70C2E"/>
    <w:rsid w:val="00D746F4"/>
    <w:rsid w:val="00D80060"/>
    <w:rsid w:val="00D8177E"/>
    <w:rsid w:val="00D83761"/>
    <w:rsid w:val="00D85735"/>
    <w:rsid w:val="00D948E0"/>
    <w:rsid w:val="00D94BB7"/>
    <w:rsid w:val="00DA2461"/>
    <w:rsid w:val="00DA499C"/>
    <w:rsid w:val="00DA5E5A"/>
    <w:rsid w:val="00DA5FB3"/>
    <w:rsid w:val="00DA7998"/>
    <w:rsid w:val="00DA79D7"/>
    <w:rsid w:val="00DB0140"/>
    <w:rsid w:val="00DB53C1"/>
    <w:rsid w:val="00DB5939"/>
    <w:rsid w:val="00DB6474"/>
    <w:rsid w:val="00DB64DB"/>
    <w:rsid w:val="00DB67BB"/>
    <w:rsid w:val="00DC4506"/>
    <w:rsid w:val="00DC7856"/>
    <w:rsid w:val="00DD1397"/>
    <w:rsid w:val="00DD1D10"/>
    <w:rsid w:val="00DD327A"/>
    <w:rsid w:val="00DD4617"/>
    <w:rsid w:val="00DD558E"/>
    <w:rsid w:val="00DD6B23"/>
    <w:rsid w:val="00DD766A"/>
    <w:rsid w:val="00DD78D1"/>
    <w:rsid w:val="00DD7D03"/>
    <w:rsid w:val="00DE14ED"/>
    <w:rsid w:val="00DE6720"/>
    <w:rsid w:val="00DE79DF"/>
    <w:rsid w:val="00DF2BE7"/>
    <w:rsid w:val="00DF2C2B"/>
    <w:rsid w:val="00DF5756"/>
    <w:rsid w:val="00DF582A"/>
    <w:rsid w:val="00DF75CC"/>
    <w:rsid w:val="00E04CBE"/>
    <w:rsid w:val="00E0607F"/>
    <w:rsid w:val="00E10728"/>
    <w:rsid w:val="00E13084"/>
    <w:rsid w:val="00E15909"/>
    <w:rsid w:val="00E15FEC"/>
    <w:rsid w:val="00E1786F"/>
    <w:rsid w:val="00E17BC6"/>
    <w:rsid w:val="00E20FEC"/>
    <w:rsid w:val="00E23CB3"/>
    <w:rsid w:val="00E24125"/>
    <w:rsid w:val="00E26887"/>
    <w:rsid w:val="00E33C89"/>
    <w:rsid w:val="00E3483B"/>
    <w:rsid w:val="00E357B6"/>
    <w:rsid w:val="00E35ED4"/>
    <w:rsid w:val="00E37A6F"/>
    <w:rsid w:val="00E40520"/>
    <w:rsid w:val="00E41964"/>
    <w:rsid w:val="00E42365"/>
    <w:rsid w:val="00E42D1D"/>
    <w:rsid w:val="00E4534A"/>
    <w:rsid w:val="00E51A62"/>
    <w:rsid w:val="00E54D80"/>
    <w:rsid w:val="00E550F1"/>
    <w:rsid w:val="00E571CA"/>
    <w:rsid w:val="00E57BE0"/>
    <w:rsid w:val="00E60C34"/>
    <w:rsid w:val="00E61E0E"/>
    <w:rsid w:val="00E64554"/>
    <w:rsid w:val="00E67BB3"/>
    <w:rsid w:val="00E7143E"/>
    <w:rsid w:val="00E73D5E"/>
    <w:rsid w:val="00E80180"/>
    <w:rsid w:val="00E81234"/>
    <w:rsid w:val="00E813BE"/>
    <w:rsid w:val="00E83499"/>
    <w:rsid w:val="00E90376"/>
    <w:rsid w:val="00E923AF"/>
    <w:rsid w:val="00E94D95"/>
    <w:rsid w:val="00E96287"/>
    <w:rsid w:val="00E9708C"/>
    <w:rsid w:val="00EA112C"/>
    <w:rsid w:val="00EA43A2"/>
    <w:rsid w:val="00EA4EC9"/>
    <w:rsid w:val="00EA5319"/>
    <w:rsid w:val="00EA6EA3"/>
    <w:rsid w:val="00EB4AFD"/>
    <w:rsid w:val="00EB528E"/>
    <w:rsid w:val="00EC010B"/>
    <w:rsid w:val="00EC0CCE"/>
    <w:rsid w:val="00EC13E0"/>
    <w:rsid w:val="00EC4040"/>
    <w:rsid w:val="00EC52F3"/>
    <w:rsid w:val="00EC5B31"/>
    <w:rsid w:val="00EC5C96"/>
    <w:rsid w:val="00EC6883"/>
    <w:rsid w:val="00EC79DA"/>
    <w:rsid w:val="00ED3CB5"/>
    <w:rsid w:val="00EE0122"/>
    <w:rsid w:val="00EE107B"/>
    <w:rsid w:val="00EE2C71"/>
    <w:rsid w:val="00EE72F8"/>
    <w:rsid w:val="00EF0773"/>
    <w:rsid w:val="00EF4690"/>
    <w:rsid w:val="00EF4CA0"/>
    <w:rsid w:val="00EF7FD8"/>
    <w:rsid w:val="00F0087F"/>
    <w:rsid w:val="00F0153E"/>
    <w:rsid w:val="00F024C0"/>
    <w:rsid w:val="00F04018"/>
    <w:rsid w:val="00F04342"/>
    <w:rsid w:val="00F04B65"/>
    <w:rsid w:val="00F10AE6"/>
    <w:rsid w:val="00F10C60"/>
    <w:rsid w:val="00F14194"/>
    <w:rsid w:val="00F144E0"/>
    <w:rsid w:val="00F14CA8"/>
    <w:rsid w:val="00F1566C"/>
    <w:rsid w:val="00F1572B"/>
    <w:rsid w:val="00F17FE0"/>
    <w:rsid w:val="00F205CE"/>
    <w:rsid w:val="00F20C2B"/>
    <w:rsid w:val="00F219F6"/>
    <w:rsid w:val="00F21B21"/>
    <w:rsid w:val="00F22D51"/>
    <w:rsid w:val="00F261B4"/>
    <w:rsid w:val="00F30086"/>
    <w:rsid w:val="00F31CA1"/>
    <w:rsid w:val="00F322B9"/>
    <w:rsid w:val="00F340D2"/>
    <w:rsid w:val="00F357D4"/>
    <w:rsid w:val="00F35CB5"/>
    <w:rsid w:val="00F401EF"/>
    <w:rsid w:val="00F40A50"/>
    <w:rsid w:val="00F41542"/>
    <w:rsid w:val="00F41907"/>
    <w:rsid w:val="00F42CA7"/>
    <w:rsid w:val="00F436D3"/>
    <w:rsid w:val="00F465BE"/>
    <w:rsid w:val="00F472A9"/>
    <w:rsid w:val="00F52DE2"/>
    <w:rsid w:val="00F536A4"/>
    <w:rsid w:val="00F54FED"/>
    <w:rsid w:val="00F56DB8"/>
    <w:rsid w:val="00F60453"/>
    <w:rsid w:val="00F64C63"/>
    <w:rsid w:val="00F64C9C"/>
    <w:rsid w:val="00F67BDD"/>
    <w:rsid w:val="00F81F23"/>
    <w:rsid w:val="00F83A6D"/>
    <w:rsid w:val="00F83ECF"/>
    <w:rsid w:val="00F90CB3"/>
    <w:rsid w:val="00F9291E"/>
    <w:rsid w:val="00F94B78"/>
    <w:rsid w:val="00F962AD"/>
    <w:rsid w:val="00F97C98"/>
    <w:rsid w:val="00FA0690"/>
    <w:rsid w:val="00FA11DD"/>
    <w:rsid w:val="00FA22C0"/>
    <w:rsid w:val="00FA3475"/>
    <w:rsid w:val="00FA76C8"/>
    <w:rsid w:val="00FA7ACD"/>
    <w:rsid w:val="00FA7BDE"/>
    <w:rsid w:val="00FB2609"/>
    <w:rsid w:val="00FB2D59"/>
    <w:rsid w:val="00FB469E"/>
    <w:rsid w:val="00FB6079"/>
    <w:rsid w:val="00FC0EF6"/>
    <w:rsid w:val="00FC2BCE"/>
    <w:rsid w:val="00FD1ED9"/>
    <w:rsid w:val="00FD2B80"/>
    <w:rsid w:val="00FD47EE"/>
    <w:rsid w:val="00FD63B1"/>
    <w:rsid w:val="00FD723F"/>
    <w:rsid w:val="00FE7D8B"/>
    <w:rsid w:val="00FF02F8"/>
    <w:rsid w:val="00FF2CCA"/>
    <w:rsid w:val="00FF2F15"/>
    <w:rsid w:val="00FF4774"/>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D33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1D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5C47FE"/>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47FE"/>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1B21"/>
    <w:pPr>
      <w:keepNext/>
      <w:keepLines/>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andFigures">
    <w:name w:val="Tables and Figures"/>
    <w:basedOn w:val="Caption"/>
    <w:qFormat/>
    <w:rsid w:val="007D349B"/>
    <w:pPr>
      <w:keepNext/>
      <w:jc w:val="both"/>
    </w:pPr>
    <w:rPr>
      <w:b/>
      <w:i w:val="0"/>
      <w:iCs w:val="0"/>
      <w:color w:val="4E67C8"/>
      <w:sz w:val="22"/>
      <w:szCs w:val="22"/>
    </w:rPr>
  </w:style>
  <w:style w:type="table" w:customStyle="1" w:styleId="GridTable1Light-Accent11">
    <w:name w:val="Grid Table 1 Light - Accent 11"/>
    <w:basedOn w:val="TableNormal"/>
    <w:uiPriority w:val="46"/>
    <w:rsid w:val="007D349B"/>
    <w:pPr>
      <w:spacing w:after="0" w:line="240" w:lineRule="auto"/>
    </w:pPr>
    <w:rPr>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7D349B"/>
    <w:pPr>
      <w:spacing w:after="200"/>
    </w:pPr>
    <w:rPr>
      <w:rFonts w:asciiTheme="minorHAnsi" w:hAnsiTheme="minorHAnsi" w:cstheme="minorBidi"/>
      <w:i/>
      <w:iCs/>
      <w:color w:val="44546A" w:themeColor="text2"/>
      <w:sz w:val="18"/>
      <w:szCs w:val="18"/>
    </w:rPr>
  </w:style>
  <w:style w:type="table" w:styleId="TableGrid">
    <w:name w:val="Table Grid"/>
    <w:basedOn w:val="TableNormal"/>
    <w:uiPriority w:val="39"/>
    <w:rsid w:val="007D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qFormat/>
    <w:rsid w:val="00D16D04"/>
    <w:rPr>
      <w:rFonts w:asciiTheme="minorHAnsi" w:hAnsiTheme="minorHAnsi" w:cstheme="minorBidi"/>
      <w:color w:val="000000" w:themeColor="text1"/>
      <w:sz w:val="22"/>
      <w:szCs w:val="22"/>
    </w:rPr>
  </w:style>
  <w:style w:type="paragraph" w:styleId="ListParagraph">
    <w:name w:val="List Paragraph"/>
    <w:basedOn w:val="Normal"/>
    <w:uiPriority w:val="34"/>
    <w:qFormat/>
    <w:rsid w:val="005C47FE"/>
    <w:pPr>
      <w:spacing w:after="160" w:line="259" w:lineRule="auto"/>
      <w:ind w:left="720"/>
      <w:contextualSpacing/>
    </w:pPr>
    <w:rPr>
      <w:rFonts w:asciiTheme="minorHAnsi" w:hAnsiTheme="minorHAnsi" w:cstheme="minorBidi"/>
      <w:sz w:val="22"/>
      <w:szCs w:val="22"/>
    </w:rPr>
  </w:style>
  <w:style w:type="paragraph" w:styleId="Title">
    <w:name w:val="Title"/>
    <w:basedOn w:val="Normal"/>
    <w:next w:val="Normal"/>
    <w:link w:val="TitleChar"/>
    <w:uiPriority w:val="10"/>
    <w:qFormat/>
    <w:rsid w:val="005C47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7FE"/>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C47FE"/>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5C47F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47FE"/>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F21B2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F21B21"/>
    <w:rPr>
      <w:sz w:val="20"/>
      <w:szCs w:val="20"/>
    </w:rPr>
  </w:style>
  <w:style w:type="character" w:styleId="FootnoteReference">
    <w:name w:val="footnote reference"/>
    <w:basedOn w:val="DefaultParagraphFont"/>
    <w:uiPriority w:val="99"/>
    <w:unhideWhenUsed/>
    <w:rsid w:val="00F21B21"/>
    <w:rPr>
      <w:vertAlign w:val="superscript"/>
    </w:rPr>
  </w:style>
  <w:style w:type="character" w:customStyle="1" w:styleId="Heading3Char">
    <w:name w:val="Heading 3 Char"/>
    <w:basedOn w:val="DefaultParagraphFont"/>
    <w:link w:val="Heading3"/>
    <w:uiPriority w:val="9"/>
    <w:rsid w:val="00F21B2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BB3E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DA"/>
    <w:rPr>
      <w:rFonts w:ascii="Segoe UI" w:hAnsi="Segoe UI" w:cs="Segoe UI"/>
      <w:sz w:val="18"/>
      <w:szCs w:val="18"/>
    </w:rPr>
  </w:style>
  <w:style w:type="paragraph" w:styleId="Header">
    <w:name w:val="header"/>
    <w:basedOn w:val="Normal"/>
    <w:link w:val="HeaderChar"/>
    <w:uiPriority w:val="99"/>
    <w:unhideWhenUsed/>
    <w:rsid w:val="00B83ADB"/>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B83ADB"/>
  </w:style>
  <w:style w:type="paragraph" w:styleId="Footer">
    <w:name w:val="footer"/>
    <w:basedOn w:val="Normal"/>
    <w:link w:val="FooterChar"/>
    <w:uiPriority w:val="99"/>
    <w:unhideWhenUsed/>
    <w:rsid w:val="00B83ADB"/>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83ADB"/>
  </w:style>
  <w:style w:type="table" w:customStyle="1" w:styleId="GridTable1Light-Accent111">
    <w:name w:val="Grid Table 1 Light - Accent 111"/>
    <w:basedOn w:val="TableNormal"/>
    <w:uiPriority w:val="46"/>
    <w:rsid w:val="00D32C10"/>
    <w:pPr>
      <w:spacing w:after="0" w:line="240" w:lineRule="auto"/>
    </w:pPr>
    <w:rPr>
      <w:color w:val="000000" w:themeColor="text1"/>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Footnote">
    <w:name w:val="Footnote"/>
    <w:basedOn w:val="FootnoteText"/>
    <w:autoRedefine/>
    <w:rsid w:val="00984C66"/>
    <w:rPr>
      <w:rFonts w:ascii="Calibri" w:eastAsia="Times New Roman" w:hAnsi="Calibri"/>
      <w:iCs/>
    </w:rPr>
  </w:style>
  <w:style w:type="paragraph" w:styleId="DocumentMap">
    <w:name w:val="Document Map"/>
    <w:basedOn w:val="Normal"/>
    <w:link w:val="DocumentMapChar"/>
    <w:uiPriority w:val="99"/>
    <w:semiHidden/>
    <w:unhideWhenUsed/>
    <w:rsid w:val="00AC3437"/>
  </w:style>
  <w:style w:type="character" w:customStyle="1" w:styleId="DocumentMapChar">
    <w:name w:val="Document Map Char"/>
    <w:basedOn w:val="DefaultParagraphFont"/>
    <w:link w:val="DocumentMap"/>
    <w:uiPriority w:val="99"/>
    <w:semiHidden/>
    <w:rsid w:val="00AC343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0363"/>
    <w:rPr>
      <w:sz w:val="18"/>
      <w:szCs w:val="18"/>
    </w:rPr>
  </w:style>
  <w:style w:type="paragraph" w:styleId="CommentText">
    <w:name w:val="annotation text"/>
    <w:basedOn w:val="Normal"/>
    <w:link w:val="CommentTextChar"/>
    <w:uiPriority w:val="99"/>
    <w:semiHidden/>
    <w:unhideWhenUsed/>
    <w:rsid w:val="00B30363"/>
    <w:pPr>
      <w:spacing w:after="16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B30363"/>
    <w:rPr>
      <w:sz w:val="24"/>
      <w:szCs w:val="24"/>
    </w:rPr>
  </w:style>
  <w:style w:type="paragraph" w:styleId="CommentSubject">
    <w:name w:val="annotation subject"/>
    <w:basedOn w:val="CommentText"/>
    <w:next w:val="CommentText"/>
    <w:link w:val="CommentSubjectChar"/>
    <w:uiPriority w:val="99"/>
    <w:semiHidden/>
    <w:unhideWhenUsed/>
    <w:rsid w:val="00B30363"/>
    <w:rPr>
      <w:b/>
      <w:bCs/>
      <w:sz w:val="20"/>
      <w:szCs w:val="20"/>
    </w:rPr>
  </w:style>
  <w:style w:type="character" w:customStyle="1" w:styleId="CommentSubjectChar">
    <w:name w:val="Comment Subject Char"/>
    <w:basedOn w:val="CommentTextChar"/>
    <w:link w:val="CommentSubject"/>
    <w:uiPriority w:val="99"/>
    <w:semiHidden/>
    <w:rsid w:val="00B30363"/>
    <w:rPr>
      <w:b/>
      <w:bCs/>
      <w:sz w:val="20"/>
      <w:szCs w:val="20"/>
    </w:rPr>
  </w:style>
  <w:style w:type="character" w:styleId="Hyperlink">
    <w:name w:val="Hyperlink"/>
    <w:basedOn w:val="DefaultParagraphFont"/>
    <w:uiPriority w:val="99"/>
    <w:unhideWhenUsed/>
    <w:rsid w:val="0076535F"/>
    <w:rPr>
      <w:color w:val="0563C1" w:themeColor="hyperlink"/>
      <w:u w:val="single"/>
    </w:rPr>
  </w:style>
  <w:style w:type="paragraph" w:styleId="NormalWeb">
    <w:name w:val="Normal (Web)"/>
    <w:basedOn w:val="Normal"/>
    <w:uiPriority w:val="99"/>
    <w:unhideWhenUsed/>
    <w:rsid w:val="00A7411A"/>
    <w:pPr>
      <w:spacing w:before="100" w:beforeAutospacing="1" w:after="100" w:afterAutospacing="1"/>
    </w:pPr>
  </w:style>
  <w:style w:type="character" w:styleId="FollowedHyperlink">
    <w:name w:val="FollowedHyperlink"/>
    <w:basedOn w:val="DefaultParagraphFont"/>
    <w:uiPriority w:val="99"/>
    <w:semiHidden/>
    <w:unhideWhenUsed/>
    <w:rsid w:val="00A7411A"/>
    <w:rPr>
      <w:color w:val="954F72" w:themeColor="followedHyperlink"/>
      <w:u w:val="single"/>
    </w:rPr>
  </w:style>
  <w:style w:type="paragraph" w:customStyle="1" w:styleId="TableandFigureHeading">
    <w:name w:val="Table and Figure Heading"/>
    <w:basedOn w:val="Normal"/>
    <w:next w:val="Normal"/>
    <w:autoRedefine/>
    <w:qFormat/>
    <w:rsid w:val="00A65F60"/>
    <w:pPr>
      <w:keepNext/>
      <w:spacing w:before="240" w:after="240"/>
      <w:jc w:val="center"/>
    </w:pPr>
    <w:rPr>
      <w:rFonts w:asciiTheme="majorHAnsi" w:eastAsiaTheme="minorHAnsi" w:hAnsiTheme="majorHAnsi" w:cstheme="minorBidi"/>
      <w:b/>
      <w:noProof/>
      <w:sz w:val="22"/>
      <w:szCs w:val="20"/>
      <w:lang w:eastAsia="zh-CN"/>
    </w:rPr>
  </w:style>
  <w:style w:type="paragraph" w:customStyle="1" w:styleId="Default">
    <w:name w:val="Default"/>
    <w:basedOn w:val="Normal"/>
    <w:autoRedefine/>
    <w:qFormat/>
    <w:rsid w:val="00D70C2E"/>
    <w:pPr>
      <w:widowControl w:val="0"/>
      <w:autoSpaceDE w:val="0"/>
      <w:autoSpaceDN w:val="0"/>
      <w:adjustRightInd w:val="0"/>
      <w:spacing w:before="360" w:after="360"/>
      <w:jc w:val="both"/>
    </w:pPr>
    <w:rPr>
      <w:rFonts w:ascii="Century Gothic" w:eastAsiaTheme="minorHAnsi" w:hAnsi="Century Gothic" w:cstheme="minorBidi"/>
      <w:color w:val="000000" w:themeColor="text1"/>
    </w:rPr>
  </w:style>
  <w:style w:type="character" w:styleId="Strong">
    <w:name w:val="Strong"/>
    <w:basedOn w:val="DefaultParagraphFont"/>
    <w:uiPriority w:val="22"/>
    <w:qFormat/>
    <w:rsid w:val="00E17BC6"/>
    <w:rPr>
      <w:b/>
      <w:bCs/>
    </w:rPr>
  </w:style>
  <w:style w:type="character" w:customStyle="1" w:styleId="highlight">
    <w:name w:val="highlight"/>
    <w:basedOn w:val="DefaultParagraphFont"/>
    <w:rsid w:val="005B4A23"/>
  </w:style>
  <w:style w:type="character" w:customStyle="1" w:styleId="apple-converted-space">
    <w:name w:val="apple-converted-space"/>
    <w:basedOn w:val="DefaultParagraphFont"/>
    <w:rsid w:val="005B4A23"/>
  </w:style>
  <w:style w:type="paragraph" w:styleId="EndnoteText">
    <w:name w:val="endnote text"/>
    <w:basedOn w:val="Normal"/>
    <w:link w:val="EndnoteTextChar"/>
    <w:uiPriority w:val="99"/>
    <w:unhideWhenUsed/>
    <w:rsid w:val="001B2681"/>
  </w:style>
  <w:style w:type="character" w:customStyle="1" w:styleId="EndnoteTextChar">
    <w:name w:val="Endnote Text Char"/>
    <w:basedOn w:val="DefaultParagraphFont"/>
    <w:link w:val="EndnoteText"/>
    <w:uiPriority w:val="99"/>
    <w:rsid w:val="001B2681"/>
    <w:rPr>
      <w:rFonts w:ascii="Times New Roman" w:hAnsi="Times New Roman" w:cs="Times New Roman"/>
      <w:sz w:val="24"/>
      <w:szCs w:val="24"/>
    </w:rPr>
  </w:style>
  <w:style w:type="character" w:styleId="EndnoteReference">
    <w:name w:val="endnote reference"/>
    <w:basedOn w:val="DefaultParagraphFont"/>
    <w:uiPriority w:val="99"/>
    <w:unhideWhenUsed/>
    <w:rsid w:val="001B2681"/>
    <w:rPr>
      <w:vertAlign w:val="superscript"/>
    </w:rPr>
  </w:style>
  <w:style w:type="paragraph" w:styleId="Revision">
    <w:name w:val="Revision"/>
    <w:hidden/>
    <w:uiPriority w:val="99"/>
    <w:semiHidden/>
    <w:rsid w:val="00A2216A"/>
    <w:pPr>
      <w:spacing w:after="0" w:line="240" w:lineRule="auto"/>
    </w:pPr>
    <w:rPr>
      <w:rFonts w:ascii="Times New Roman" w:hAnsi="Times New Roman" w:cs="Times New Roman"/>
      <w:sz w:val="24"/>
      <w:szCs w:val="24"/>
    </w:rPr>
  </w:style>
  <w:style w:type="character" w:customStyle="1" w:styleId="js-separator">
    <w:name w:val="js-separator"/>
    <w:basedOn w:val="DefaultParagraphFont"/>
    <w:rsid w:val="006E4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22416">
      <w:bodyDiv w:val="1"/>
      <w:marLeft w:val="0"/>
      <w:marRight w:val="0"/>
      <w:marTop w:val="0"/>
      <w:marBottom w:val="0"/>
      <w:divBdr>
        <w:top w:val="none" w:sz="0" w:space="0" w:color="auto"/>
        <w:left w:val="none" w:sz="0" w:space="0" w:color="auto"/>
        <w:bottom w:val="none" w:sz="0" w:space="0" w:color="auto"/>
        <w:right w:val="none" w:sz="0" w:space="0" w:color="auto"/>
      </w:divBdr>
    </w:div>
    <w:div w:id="47536204">
      <w:bodyDiv w:val="1"/>
      <w:marLeft w:val="0"/>
      <w:marRight w:val="0"/>
      <w:marTop w:val="0"/>
      <w:marBottom w:val="0"/>
      <w:divBdr>
        <w:top w:val="none" w:sz="0" w:space="0" w:color="auto"/>
        <w:left w:val="none" w:sz="0" w:space="0" w:color="auto"/>
        <w:bottom w:val="none" w:sz="0" w:space="0" w:color="auto"/>
        <w:right w:val="none" w:sz="0" w:space="0" w:color="auto"/>
      </w:divBdr>
      <w:divsChild>
        <w:div w:id="1117719151">
          <w:marLeft w:val="0"/>
          <w:marRight w:val="0"/>
          <w:marTop w:val="0"/>
          <w:marBottom w:val="0"/>
          <w:divBdr>
            <w:top w:val="none" w:sz="0" w:space="0" w:color="auto"/>
            <w:left w:val="none" w:sz="0" w:space="0" w:color="auto"/>
            <w:bottom w:val="none" w:sz="0" w:space="0" w:color="auto"/>
            <w:right w:val="none" w:sz="0" w:space="0" w:color="auto"/>
          </w:divBdr>
        </w:div>
        <w:div w:id="1536306514">
          <w:marLeft w:val="0"/>
          <w:marRight w:val="0"/>
          <w:marTop w:val="0"/>
          <w:marBottom w:val="0"/>
          <w:divBdr>
            <w:top w:val="none" w:sz="0" w:space="0" w:color="auto"/>
            <w:left w:val="none" w:sz="0" w:space="0" w:color="auto"/>
            <w:bottom w:val="none" w:sz="0" w:space="0" w:color="auto"/>
            <w:right w:val="none" w:sz="0" w:space="0" w:color="auto"/>
          </w:divBdr>
        </w:div>
        <w:div w:id="758988069">
          <w:marLeft w:val="0"/>
          <w:marRight w:val="0"/>
          <w:marTop w:val="0"/>
          <w:marBottom w:val="0"/>
          <w:divBdr>
            <w:top w:val="none" w:sz="0" w:space="0" w:color="auto"/>
            <w:left w:val="none" w:sz="0" w:space="0" w:color="auto"/>
            <w:bottom w:val="none" w:sz="0" w:space="0" w:color="auto"/>
            <w:right w:val="none" w:sz="0" w:space="0" w:color="auto"/>
          </w:divBdr>
        </w:div>
        <w:div w:id="1048072233">
          <w:marLeft w:val="0"/>
          <w:marRight w:val="0"/>
          <w:marTop w:val="0"/>
          <w:marBottom w:val="0"/>
          <w:divBdr>
            <w:top w:val="none" w:sz="0" w:space="0" w:color="auto"/>
            <w:left w:val="none" w:sz="0" w:space="0" w:color="auto"/>
            <w:bottom w:val="none" w:sz="0" w:space="0" w:color="auto"/>
            <w:right w:val="none" w:sz="0" w:space="0" w:color="auto"/>
          </w:divBdr>
        </w:div>
        <w:div w:id="1378356553">
          <w:marLeft w:val="0"/>
          <w:marRight w:val="0"/>
          <w:marTop w:val="0"/>
          <w:marBottom w:val="0"/>
          <w:divBdr>
            <w:top w:val="none" w:sz="0" w:space="0" w:color="auto"/>
            <w:left w:val="none" w:sz="0" w:space="0" w:color="auto"/>
            <w:bottom w:val="none" w:sz="0" w:space="0" w:color="auto"/>
            <w:right w:val="none" w:sz="0" w:space="0" w:color="auto"/>
          </w:divBdr>
        </w:div>
        <w:div w:id="795368045">
          <w:marLeft w:val="0"/>
          <w:marRight w:val="0"/>
          <w:marTop w:val="0"/>
          <w:marBottom w:val="0"/>
          <w:divBdr>
            <w:top w:val="none" w:sz="0" w:space="0" w:color="auto"/>
            <w:left w:val="none" w:sz="0" w:space="0" w:color="auto"/>
            <w:bottom w:val="none" w:sz="0" w:space="0" w:color="auto"/>
            <w:right w:val="none" w:sz="0" w:space="0" w:color="auto"/>
          </w:divBdr>
        </w:div>
        <w:div w:id="847645021">
          <w:marLeft w:val="0"/>
          <w:marRight w:val="0"/>
          <w:marTop w:val="0"/>
          <w:marBottom w:val="0"/>
          <w:divBdr>
            <w:top w:val="none" w:sz="0" w:space="0" w:color="auto"/>
            <w:left w:val="none" w:sz="0" w:space="0" w:color="auto"/>
            <w:bottom w:val="none" w:sz="0" w:space="0" w:color="auto"/>
            <w:right w:val="none" w:sz="0" w:space="0" w:color="auto"/>
          </w:divBdr>
        </w:div>
        <w:div w:id="792359924">
          <w:marLeft w:val="0"/>
          <w:marRight w:val="0"/>
          <w:marTop w:val="0"/>
          <w:marBottom w:val="0"/>
          <w:divBdr>
            <w:top w:val="none" w:sz="0" w:space="0" w:color="auto"/>
            <w:left w:val="none" w:sz="0" w:space="0" w:color="auto"/>
            <w:bottom w:val="none" w:sz="0" w:space="0" w:color="auto"/>
            <w:right w:val="none" w:sz="0" w:space="0" w:color="auto"/>
          </w:divBdr>
        </w:div>
        <w:div w:id="2026786673">
          <w:marLeft w:val="0"/>
          <w:marRight w:val="0"/>
          <w:marTop w:val="0"/>
          <w:marBottom w:val="0"/>
          <w:divBdr>
            <w:top w:val="none" w:sz="0" w:space="0" w:color="auto"/>
            <w:left w:val="none" w:sz="0" w:space="0" w:color="auto"/>
            <w:bottom w:val="none" w:sz="0" w:space="0" w:color="auto"/>
            <w:right w:val="none" w:sz="0" w:space="0" w:color="auto"/>
          </w:divBdr>
        </w:div>
        <w:div w:id="1209343438">
          <w:marLeft w:val="0"/>
          <w:marRight w:val="0"/>
          <w:marTop w:val="0"/>
          <w:marBottom w:val="0"/>
          <w:divBdr>
            <w:top w:val="none" w:sz="0" w:space="0" w:color="auto"/>
            <w:left w:val="none" w:sz="0" w:space="0" w:color="auto"/>
            <w:bottom w:val="none" w:sz="0" w:space="0" w:color="auto"/>
            <w:right w:val="none" w:sz="0" w:space="0" w:color="auto"/>
          </w:divBdr>
        </w:div>
        <w:div w:id="1841851402">
          <w:marLeft w:val="0"/>
          <w:marRight w:val="0"/>
          <w:marTop w:val="0"/>
          <w:marBottom w:val="0"/>
          <w:divBdr>
            <w:top w:val="none" w:sz="0" w:space="0" w:color="auto"/>
            <w:left w:val="none" w:sz="0" w:space="0" w:color="auto"/>
            <w:bottom w:val="none" w:sz="0" w:space="0" w:color="auto"/>
            <w:right w:val="none" w:sz="0" w:space="0" w:color="auto"/>
          </w:divBdr>
        </w:div>
        <w:div w:id="1496843958">
          <w:marLeft w:val="0"/>
          <w:marRight w:val="0"/>
          <w:marTop w:val="0"/>
          <w:marBottom w:val="0"/>
          <w:divBdr>
            <w:top w:val="none" w:sz="0" w:space="0" w:color="auto"/>
            <w:left w:val="none" w:sz="0" w:space="0" w:color="auto"/>
            <w:bottom w:val="none" w:sz="0" w:space="0" w:color="auto"/>
            <w:right w:val="none" w:sz="0" w:space="0" w:color="auto"/>
          </w:divBdr>
        </w:div>
      </w:divsChild>
    </w:div>
    <w:div w:id="81726858">
      <w:bodyDiv w:val="1"/>
      <w:marLeft w:val="0"/>
      <w:marRight w:val="0"/>
      <w:marTop w:val="0"/>
      <w:marBottom w:val="0"/>
      <w:divBdr>
        <w:top w:val="none" w:sz="0" w:space="0" w:color="auto"/>
        <w:left w:val="none" w:sz="0" w:space="0" w:color="auto"/>
        <w:bottom w:val="none" w:sz="0" w:space="0" w:color="auto"/>
        <w:right w:val="none" w:sz="0" w:space="0" w:color="auto"/>
      </w:divBdr>
    </w:div>
    <w:div w:id="149639515">
      <w:bodyDiv w:val="1"/>
      <w:marLeft w:val="0"/>
      <w:marRight w:val="0"/>
      <w:marTop w:val="0"/>
      <w:marBottom w:val="0"/>
      <w:divBdr>
        <w:top w:val="none" w:sz="0" w:space="0" w:color="auto"/>
        <w:left w:val="none" w:sz="0" w:space="0" w:color="auto"/>
        <w:bottom w:val="none" w:sz="0" w:space="0" w:color="auto"/>
        <w:right w:val="none" w:sz="0" w:space="0" w:color="auto"/>
      </w:divBdr>
    </w:div>
    <w:div w:id="159275286">
      <w:bodyDiv w:val="1"/>
      <w:marLeft w:val="0"/>
      <w:marRight w:val="0"/>
      <w:marTop w:val="0"/>
      <w:marBottom w:val="0"/>
      <w:divBdr>
        <w:top w:val="none" w:sz="0" w:space="0" w:color="auto"/>
        <w:left w:val="none" w:sz="0" w:space="0" w:color="auto"/>
        <w:bottom w:val="none" w:sz="0" w:space="0" w:color="auto"/>
        <w:right w:val="none" w:sz="0" w:space="0" w:color="auto"/>
      </w:divBdr>
      <w:divsChild>
        <w:div w:id="1006982267">
          <w:marLeft w:val="0"/>
          <w:marRight w:val="0"/>
          <w:marTop w:val="0"/>
          <w:marBottom w:val="0"/>
          <w:divBdr>
            <w:top w:val="none" w:sz="0" w:space="0" w:color="auto"/>
            <w:left w:val="none" w:sz="0" w:space="0" w:color="auto"/>
            <w:bottom w:val="none" w:sz="0" w:space="0" w:color="auto"/>
            <w:right w:val="none" w:sz="0" w:space="0" w:color="auto"/>
          </w:divBdr>
          <w:divsChild>
            <w:div w:id="1558516442">
              <w:marLeft w:val="0"/>
              <w:marRight w:val="0"/>
              <w:marTop w:val="0"/>
              <w:marBottom w:val="0"/>
              <w:divBdr>
                <w:top w:val="none" w:sz="0" w:space="0" w:color="auto"/>
                <w:left w:val="none" w:sz="0" w:space="0" w:color="auto"/>
                <w:bottom w:val="none" w:sz="0" w:space="0" w:color="auto"/>
                <w:right w:val="none" w:sz="0" w:space="0" w:color="auto"/>
              </w:divBdr>
              <w:divsChild>
                <w:div w:id="1758135309">
                  <w:marLeft w:val="0"/>
                  <w:marRight w:val="0"/>
                  <w:marTop w:val="0"/>
                  <w:marBottom w:val="0"/>
                  <w:divBdr>
                    <w:top w:val="none" w:sz="0" w:space="0" w:color="auto"/>
                    <w:left w:val="none" w:sz="0" w:space="0" w:color="auto"/>
                    <w:bottom w:val="none" w:sz="0" w:space="0" w:color="auto"/>
                    <w:right w:val="none" w:sz="0" w:space="0" w:color="auto"/>
                  </w:divBdr>
                  <w:divsChild>
                    <w:div w:id="16904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3629">
      <w:bodyDiv w:val="1"/>
      <w:marLeft w:val="0"/>
      <w:marRight w:val="0"/>
      <w:marTop w:val="0"/>
      <w:marBottom w:val="0"/>
      <w:divBdr>
        <w:top w:val="none" w:sz="0" w:space="0" w:color="auto"/>
        <w:left w:val="none" w:sz="0" w:space="0" w:color="auto"/>
        <w:bottom w:val="none" w:sz="0" w:space="0" w:color="auto"/>
        <w:right w:val="none" w:sz="0" w:space="0" w:color="auto"/>
      </w:divBdr>
    </w:div>
    <w:div w:id="290523226">
      <w:bodyDiv w:val="1"/>
      <w:marLeft w:val="0"/>
      <w:marRight w:val="0"/>
      <w:marTop w:val="0"/>
      <w:marBottom w:val="0"/>
      <w:divBdr>
        <w:top w:val="none" w:sz="0" w:space="0" w:color="auto"/>
        <w:left w:val="none" w:sz="0" w:space="0" w:color="auto"/>
        <w:bottom w:val="none" w:sz="0" w:space="0" w:color="auto"/>
        <w:right w:val="none" w:sz="0" w:space="0" w:color="auto"/>
      </w:divBdr>
    </w:div>
    <w:div w:id="292760048">
      <w:bodyDiv w:val="1"/>
      <w:marLeft w:val="0"/>
      <w:marRight w:val="0"/>
      <w:marTop w:val="0"/>
      <w:marBottom w:val="0"/>
      <w:divBdr>
        <w:top w:val="none" w:sz="0" w:space="0" w:color="auto"/>
        <w:left w:val="none" w:sz="0" w:space="0" w:color="auto"/>
        <w:bottom w:val="none" w:sz="0" w:space="0" w:color="auto"/>
        <w:right w:val="none" w:sz="0" w:space="0" w:color="auto"/>
      </w:divBdr>
    </w:div>
    <w:div w:id="618875685">
      <w:bodyDiv w:val="1"/>
      <w:marLeft w:val="0"/>
      <w:marRight w:val="0"/>
      <w:marTop w:val="0"/>
      <w:marBottom w:val="0"/>
      <w:divBdr>
        <w:top w:val="none" w:sz="0" w:space="0" w:color="auto"/>
        <w:left w:val="none" w:sz="0" w:space="0" w:color="auto"/>
        <w:bottom w:val="none" w:sz="0" w:space="0" w:color="auto"/>
        <w:right w:val="none" w:sz="0" w:space="0" w:color="auto"/>
      </w:divBdr>
    </w:div>
    <w:div w:id="624389078">
      <w:bodyDiv w:val="1"/>
      <w:marLeft w:val="0"/>
      <w:marRight w:val="0"/>
      <w:marTop w:val="0"/>
      <w:marBottom w:val="0"/>
      <w:divBdr>
        <w:top w:val="none" w:sz="0" w:space="0" w:color="auto"/>
        <w:left w:val="none" w:sz="0" w:space="0" w:color="auto"/>
        <w:bottom w:val="none" w:sz="0" w:space="0" w:color="auto"/>
        <w:right w:val="none" w:sz="0" w:space="0" w:color="auto"/>
      </w:divBdr>
    </w:div>
    <w:div w:id="628777435">
      <w:bodyDiv w:val="1"/>
      <w:marLeft w:val="0"/>
      <w:marRight w:val="0"/>
      <w:marTop w:val="0"/>
      <w:marBottom w:val="0"/>
      <w:divBdr>
        <w:top w:val="none" w:sz="0" w:space="0" w:color="auto"/>
        <w:left w:val="none" w:sz="0" w:space="0" w:color="auto"/>
        <w:bottom w:val="none" w:sz="0" w:space="0" w:color="auto"/>
        <w:right w:val="none" w:sz="0" w:space="0" w:color="auto"/>
      </w:divBdr>
      <w:divsChild>
        <w:div w:id="1516266287">
          <w:marLeft w:val="0"/>
          <w:marRight w:val="0"/>
          <w:marTop w:val="0"/>
          <w:marBottom w:val="0"/>
          <w:divBdr>
            <w:top w:val="none" w:sz="0" w:space="0" w:color="auto"/>
            <w:left w:val="none" w:sz="0" w:space="0" w:color="auto"/>
            <w:bottom w:val="none" w:sz="0" w:space="0" w:color="auto"/>
            <w:right w:val="none" w:sz="0" w:space="0" w:color="auto"/>
          </w:divBdr>
          <w:divsChild>
            <w:div w:id="1831601458">
              <w:marLeft w:val="0"/>
              <w:marRight w:val="0"/>
              <w:marTop w:val="0"/>
              <w:marBottom w:val="0"/>
              <w:divBdr>
                <w:top w:val="none" w:sz="0" w:space="0" w:color="auto"/>
                <w:left w:val="none" w:sz="0" w:space="0" w:color="auto"/>
                <w:bottom w:val="none" w:sz="0" w:space="0" w:color="auto"/>
                <w:right w:val="none" w:sz="0" w:space="0" w:color="auto"/>
              </w:divBdr>
              <w:divsChild>
                <w:div w:id="696274832">
                  <w:marLeft w:val="0"/>
                  <w:marRight w:val="0"/>
                  <w:marTop w:val="0"/>
                  <w:marBottom w:val="0"/>
                  <w:divBdr>
                    <w:top w:val="none" w:sz="0" w:space="0" w:color="auto"/>
                    <w:left w:val="none" w:sz="0" w:space="0" w:color="auto"/>
                    <w:bottom w:val="none" w:sz="0" w:space="0" w:color="auto"/>
                    <w:right w:val="none" w:sz="0" w:space="0" w:color="auto"/>
                  </w:divBdr>
                  <w:divsChild>
                    <w:div w:id="10459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6479">
      <w:bodyDiv w:val="1"/>
      <w:marLeft w:val="0"/>
      <w:marRight w:val="0"/>
      <w:marTop w:val="0"/>
      <w:marBottom w:val="0"/>
      <w:divBdr>
        <w:top w:val="none" w:sz="0" w:space="0" w:color="auto"/>
        <w:left w:val="none" w:sz="0" w:space="0" w:color="auto"/>
        <w:bottom w:val="none" w:sz="0" w:space="0" w:color="auto"/>
        <w:right w:val="none" w:sz="0" w:space="0" w:color="auto"/>
      </w:divBdr>
    </w:div>
    <w:div w:id="730078590">
      <w:bodyDiv w:val="1"/>
      <w:marLeft w:val="0"/>
      <w:marRight w:val="0"/>
      <w:marTop w:val="0"/>
      <w:marBottom w:val="0"/>
      <w:divBdr>
        <w:top w:val="none" w:sz="0" w:space="0" w:color="auto"/>
        <w:left w:val="none" w:sz="0" w:space="0" w:color="auto"/>
        <w:bottom w:val="none" w:sz="0" w:space="0" w:color="auto"/>
        <w:right w:val="none" w:sz="0" w:space="0" w:color="auto"/>
      </w:divBdr>
      <w:divsChild>
        <w:div w:id="156238502">
          <w:marLeft w:val="0"/>
          <w:marRight w:val="0"/>
          <w:marTop w:val="0"/>
          <w:marBottom w:val="0"/>
          <w:divBdr>
            <w:top w:val="none" w:sz="0" w:space="0" w:color="auto"/>
            <w:left w:val="none" w:sz="0" w:space="0" w:color="auto"/>
            <w:bottom w:val="none" w:sz="0" w:space="0" w:color="auto"/>
            <w:right w:val="none" w:sz="0" w:space="0" w:color="auto"/>
          </w:divBdr>
          <w:divsChild>
            <w:div w:id="1066219741">
              <w:marLeft w:val="0"/>
              <w:marRight w:val="0"/>
              <w:marTop w:val="0"/>
              <w:marBottom w:val="0"/>
              <w:divBdr>
                <w:top w:val="none" w:sz="0" w:space="0" w:color="auto"/>
                <w:left w:val="none" w:sz="0" w:space="0" w:color="auto"/>
                <w:bottom w:val="none" w:sz="0" w:space="0" w:color="auto"/>
                <w:right w:val="none" w:sz="0" w:space="0" w:color="auto"/>
              </w:divBdr>
              <w:divsChild>
                <w:div w:id="14277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068947">
      <w:bodyDiv w:val="1"/>
      <w:marLeft w:val="0"/>
      <w:marRight w:val="0"/>
      <w:marTop w:val="0"/>
      <w:marBottom w:val="0"/>
      <w:divBdr>
        <w:top w:val="none" w:sz="0" w:space="0" w:color="auto"/>
        <w:left w:val="none" w:sz="0" w:space="0" w:color="auto"/>
        <w:bottom w:val="none" w:sz="0" w:space="0" w:color="auto"/>
        <w:right w:val="none" w:sz="0" w:space="0" w:color="auto"/>
      </w:divBdr>
    </w:div>
    <w:div w:id="1017384557">
      <w:bodyDiv w:val="1"/>
      <w:marLeft w:val="0"/>
      <w:marRight w:val="0"/>
      <w:marTop w:val="0"/>
      <w:marBottom w:val="0"/>
      <w:divBdr>
        <w:top w:val="none" w:sz="0" w:space="0" w:color="auto"/>
        <w:left w:val="none" w:sz="0" w:space="0" w:color="auto"/>
        <w:bottom w:val="none" w:sz="0" w:space="0" w:color="auto"/>
        <w:right w:val="none" w:sz="0" w:space="0" w:color="auto"/>
      </w:divBdr>
    </w:div>
    <w:div w:id="1058018614">
      <w:bodyDiv w:val="1"/>
      <w:marLeft w:val="0"/>
      <w:marRight w:val="0"/>
      <w:marTop w:val="0"/>
      <w:marBottom w:val="0"/>
      <w:divBdr>
        <w:top w:val="none" w:sz="0" w:space="0" w:color="auto"/>
        <w:left w:val="none" w:sz="0" w:space="0" w:color="auto"/>
        <w:bottom w:val="none" w:sz="0" w:space="0" w:color="auto"/>
        <w:right w:val="none" w:sz="0" w:space="0" w:color="auto"/>
      </w:divBdr>
    </w:div>
    <w:div w:id="1129083571">
      <w:bodyDiv w:val="1"/>
      <w:marLeft w:val="0"/>
      <w:marRight w:val="0"/>
      <w:marTop w:val="0"/>
      <w:marBottom w:val="0"/>
      <w:divBdr>
        <w:top w:val="none" w:sz="0" w:space="0" w:color="auto"/>
        <w:left w:val="none" w:sz="0" w:space="0" w:color="auto"/>
        <w:bottom w:val="none" w:sz="0" w:space="0" w:color="auto"/>
        <w:right w:val="none" w:sz="0" w:space="0" w:color="auto"/>
      </w:divBdr>
    </w:div>
    <w:div w:id="1254313381">
      <w:bodyDiv w:val="1"/>
      <w:marLeft w:val="0"/>
      <w:marRight w:val="0"/>
      <w:marTop w:val="0"/>
      <w:marBottom w:val="0"/>
      <w:divBdr>
        <w:top w:val="none" w:sz="0" w:space="0" w:color="auto"/>
        <w:left w:val="none" w:sz="0" w:space="0" w:color="auto"/>
        <w:bottom w:val="none" w:sz="0" w:space="0" w:color="auto"/>
        <w:right w:val="none" w:sz="0" w:space="0" w:color="auto"/>
      </w:divBdr>
    </w:div>
    <w:div w:id="1322543534">
      <w:bodyDiv w:val="1"/>
      <w:marLeft w:val="0"/>
      <w:marRight w:val="0"/>
      <w:marTop w:val="0"/>
      <w:marBottom w:val="0"/>
      <w:divBdr>
        <w:top w:val="none" w:sz="0" w:space="0" w:color="auto"/>
        <w:left w:val="none" w:sz="0" w:space="0" w:color="auto"/>
        <w:bottom w:val="none" w:sz="0" w:space="0" w:color="auto"/>
        <w:right w:val="none" w:sz="0" w:space="0" w:color="auto"/>
      </w:divBdr>
    </w:div>
    <w:div w:id="1345133469">
      <w:bodyDiv w:val="1"/>
      <w:marLeft w:val="0"/>
      <w:marRight w:val="0"/>
      <w:marTop w:val="0"/>
      <w:marBottom w:val="0"/>
      <w:divBdr>
        <w:top w:val="none" w:sz="0" w:space="0" w:color="auto"/>
        <w:left w:val="none" w:sz="0" w:space="0" w:color="auto"/>
        <w:bottom w:val="none" w:sz="0" w:space="0" w:color="auto"/>
        <w:right w:val="none" w:sz="0" w:space="0" w:color="auto"/>
      </w:divBdr>
    </w:div>
    <w:div w:id="1499691546">
      <w:bodyDiv w:val="1"/>
      <w:marLeft w:val="0"/>
      <w:marRight w:val="0"/>
      <w:marTop w:val="0"/>
      <w:marBottom w:val="0"/>
      <w:divBdr>
        <w:top w:val="none" w:sz="0" w:space="0" w:color="auto"/>
        <w:left w:val="none" w:sz="0" w:space="0" w:color="auto"/>
        <w:bottom w:val="none" w:sz="0" w:space="0" w:color="auto"/>
        <w:right w:val="none" w:sz="0" w:space="0" w:color="auto"/>
      </w:divBdr>
    </w:div>
    <w:div w:id="1632857392">
      <w:bodyDiv w:val="1"/>
      <w:marLeft w:val="0"/>
      <w:marRight w:val="0"/>
      <w:marTop w:val="0"/>
      <w:marBottom w:val="0"/>
      <w:divBdr>
        <w:top w:val="none" w:sz="0" w:space="0" w:color="auto"/>
        <w:left w:val="none" w:sz="0" w:space="0" w:color="auto"/>
        <w:bottom w:val="none" w:sz="0" w:space="0" w:color="auto"/>
        <w:right w:val="none" w:sz="0" w:space="0" w:color="auto"/>
      </w:divBdr>
    </w:div>
    <w:div w:id="1634368215">
      <w:bodyDiv w:val="1"/>
      <w:marLeft w:val="0"/>
      <w:marRight w:val="0"/>
      <w:marTop w:val="0"/>
      <w:marBottom w:val="0"/>
      <w:divBdr>
        <w:top w:val="none" w:sz="0" w:space="0" w:color="auto"/>
        <w:left w:val="none" w:sz="0" w:space="0" w:color="auto"/>
        <w:bottom w:val="none" w:sz="0" w:space="0" w:color="auto"/>
        <w:right w:val="none" w:sz="0" w:space="0" w:color="auto"/>
      </w:divBdr>
      <w:divsChild>
        <w:div w:id="1111163383">
          <w:marLeft w:val="0"/>
          <w:marRight w:val="0"/>
          <w:marTop w:val="0"/>
          <w:marBottom w:val="0"/>
          <w:divBdr>
            <w:top w:val="none" w:sz="0" w:space="0" w:color="auto"/>
            <w:left w:val="none" w:sz="0" w:space="0" w:color="auto"/>
            <w:bottom w:val="none" w:sz="0" w:space="0" w:color="auto"/>
            <w:right w:val="none" w:sz="0" w:space="0" w:color="auto"/>
          </w:divBdr>
          <w:divsChild>
            <w:div w:id="1729038335">
              <w:marLeft w:val="0"/>
              <w:marRight w:val="0"/>
              <w:marTop w:val="0"/>
              <w:marBottom w:val="0"/>
              <w:divBdr>
                <w:top w:val="none" w:sz="0" w:space="0" w:color="auto"/>
                <w:left w:val="none" w:sz="0" w:space="0" w:color="auto"/>
                <w:bottom w:val="none" w:sz="0" w:space="0" w:color="auto"/>
                <w:right w:val="none" w:sz="0" w:space="0" w:color="auto"/>
              </w:divBdr>
              <w:divsChild>
                <w:div w:id="1709912024">
                  <w:marLeft w:val="0"/>
                  <w:marRight w:val="0"/>
                  <w:marTop w:val="0"/>
                  <w:marBottom w:val="0"/>
                  <w:divBdr>
                    <w:top w:val="none" w:sz="0" w:space="0" w:color="auto"/>
                    <w:left w:val="none" w:sz="0" w:space="0" w:color="auto"/>
                    <w:bottom w:val="none" w:sz="0" w:space="0" w:color="auto"/>
                    <w:right w:val="none" w:sz="0" w:space="0" w:color="auto"/>
                  </w:divBdr>
                  <w:divsChild>
                    <w:div w:id="1326543893">
                      <w:marLeft w:val="0"/>
                      <w:marRight w:val="0"/>
                      <w:marTop w:val="0"/>
                      <w:marBottom w:val="0"/>
                      <w:divBdr>
                        <w:top w:val="none" w:sz="0" w:space="0" w:color="auto"/>
                        <w:left w:val="none" w:sz="0" w:space="0" w:color="auto"/>
                        <w:bottom w:val="none" w:sz="0" w:space="0" w:color="auto"/>
                        <w:right w:val="none" w:sz="0" w:space="0" w:color="auto"/>
                      </w:divBdr>
                    </w:div>
                    <w:div w:id="2026981097">
                      <w:marLeft w:val="0"/>
                      <w:marRight w:val="0"/>
                      <w:marTop w:val="0"/>
                      <w:marBottom w:val="0"/>
                      <w:divBdr>
                        <w:top w:val="none" w:sz="0" w:space="0" w:color="auto"/>
                        <w:left w:val="none" w:sz="0" w:space="0" w:color="auto"/>
                        <w:bottom w:val="none" w:sz="0" w:space="0" w:color="auto"/>
                        <w:right w:val="none" w:sz="0" w:space="0" w:color="auto"/>
                      </w:divBdr>
                    </w:div>
                  </w:divsChild>
                </w:div>
                <w:div w:id="125053087">
                  <w:marLeft w:val="0"/>
                  <w:marRight w:val="0"/>
                  <w:marTop w:val="0"/>
                  <w:marBottom w:val="0"/>
                  <w:divBdr>
                    <w:top w:val="none" w:sz="0" w:space="0" w:color="auto"/>
                    <w:left w:val="none" w:sz="0" w:space="0" w:color="auto"/>
                    <w:bottom w:val="none" w:sz="0" w:space="0" w:color="auto"/>
                    <w:right w:val="none" w:sz="0" w:space="0" w:color="auto"/>
                  </w:divBdr>
                  <w:divsChild>
                    <w:div w:id="3331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645585">
      <w:bodyDiv w:val="1"/>
      <w:marLeft w:val="0"/>
      <w:marRight w:val="0"/>
      <w:marTop w:val="0"/>
      <w:marBottom w:val="0"/>
      <w:divBdr>
        <w:top w:val="none" w:sz="0" w:space="0" w:color="auto"/>
        <w:left w:val="none" w:sz="0" w:space="0" w:color="auto"/>
        <w:bottom w:val="none" w:sz="0" w:space="0" w:color="auto"/>
        <w:right w:val="none" w:sz="0" w:space="0" w:color="auto"/>
      </w:divBdr>
    </w:div>
    <w:div w:id="1708482783">
      <w:bodyDiv w:val="1"/>
      <w:marLeft w:val="0"/>
      <w:marRight w:val="0"/>
      <w:marTop w:val="0"/>
      <w:marBottom w:val="0"/>
      <w:divBdr>
        <w:top w:val="none" w:sz="0" w:space="0" w:color="auto"/>
        <w:left w:val="none" w:sz="0" w:space="0" w:color="auto"/>
        <w:bottom w:val="none" w:sz="0" w:space="0" w:color="auto"/>
        <w:right w:val="none" w:sz="0" w:space="0" w:color="auto"/>
      </w:divBdr>
    </w:div>
    <w:div w:id="1835997010">
      <w:bodyDiv w:val="1"/>
      <w:marLeft w:val="0"/>
      <w:marRight w:val="0"/>
      <w:marTop w:val="0"/>
      <w:marBottom w:val="0"/>
      <w:divBdr>
        <w:top w:val="none" w:sz="0" w:space="0" w:color="auto"/>
        <w:left w:val="none" w:sz="0" w:space="0" w:color="auto"/>
        <w:bottom w:val="none" w:sz="0" w:space="0" w:color="auto"/>
        <w:right w:val="none" w:sz="0" w:space="0" w:color="auto"/>
      </w:divBdr>
      <w:divsChild>
        <w:div w:id="299921861">
          <w:marLeft w:val="0"/>
          <w:marRight w:val="0"/>
          <w:marTop w:val="0"/>
          <w:marBottom w:val="0"/>
          <w:divBdr>
            <w:top w:val="none" w:sz="0" w:space="0" w:color="auto"/>
            <w:left w:val="none" w:sz="0" w:space="0" w:color="auto"/>
            <w:bottom w:val="none" w:sz="0" w:space="0" w:color="auto"/>
            <w:right w:val="none" w:sz="0" w:space="0" w:color="auto"/>
          </w:divBdr>
        </w:div>
        <w:div w:id="1327825611">
          <w:marLeft w:val="0"/>
          <w:marRight w:val="0"/>
          <w:marTop w:val="0"/>
          <w:marBottom w:val="0"/>
          <w:divBdr>
            <w:top w:val="none" w:sz="0" w:space="0" w:color="auto"/>
            <w:left w:val="none" w:sz="0" w:space="0" w:color="auto"/>
            <w:bottom w:val="none" w:sz="0" w:space="0" w:color="auto"/>
            <w:right w:val="none" w:sz="0" w:space="0" w:color="auto"/>
          </w:divBdr>
        </w:div>
        <w:div w:id="467548979">
          <w:marLeft w:val="0"/>
          <w:marRight w:val="0"/>
          <w:marTop w:val="0"/>
          <w:marBottom w:val="0"/>
          <w:divBdr>
            <w:top w:val="none" w:sz="0" w:space="0" w:color="auto"/>
            <w:left w:val="none" w:sz="0" w:space="0" w:color="auto"/>
            <w:bottom w:val="none" w:sz="0" w:space="0" w:color="auto"/>
            <w:right w:val="none" w:sz="0" w:space="0" w:color="auto"/>
          </w:divBdr>
        </w:div>
        <w:div w:id="932783282">
          <w:marLeft w:val="0"/>
          <w:marRight w:val="0"/>
          <w:marTop w:val="0"/>
          <w:marBottom w:val="0"/>
          <w:divBdr>
            <w:top w:val="none" w:sz="0" w:space="0" w:color="auto"/>
            <w:left w:val="none" w:sz="0" w:space="0" w:color="auto"/>
            <w:bottom w:val="none" w:sz="0" w:space="0" w:color="auto"/>
            <w:right w:val="none" w:sz="0" w:space="0" w:color="auto"/>
          </w:divBdr>
        </w:div>
        <w:div w:id="1411385251">
          <w:marLeft w:val="0"/>
          <w:marRight w:val="0"/>
          <w:marTop w:val="0"/>
          <w:marBottom w:val="0"/>
          <w:divBdr>
            <w:top w:val="none" w:sz="0" w:space="0" w:color="auto"/>
            <w:left w:val="none" w:sz="0" w:space="0" w:color="auto"/>
            <w:bottom w:val="none" w:sz="0" w:space="0" w:color="auto"/>
            <w:right w:val="none" w:sz="0" w:space="0" w:color="auto"/>
          </w:divBdr>
        </w:div>
        <w:div w:id="110059141">
          <w:marLeft w:val="0"/>
          <w:marRight w:val="0"/>
          <w:marTop w:val="0"/>
          <w:marBottom w:val="0"/>
          <w:divBdr>
            <w:top w:val="none" w:sz="0" w:space="0" w:color="auto"/>
            <w:left w:val="none" w:sz="0" w:space="0" w:color="auto"/>
            <w:bottom w:val="none" w:sz="0" w:space="0" w:color="auto"/>
            <w:right w:val="none" w:sz="0" w:space="0" w:color="auto"/>
          </w:divBdr>
        </w:div>
        <w:div w:id="793136125">
          <w:marLeft w:val="0"/>
          <w:marRight w:val="0"/>
          <w:marTop w:val="0"/>
          <w:marBottom w:val="0"/>
          <w:divBdr>
            <w:top w:val="none" w:sz="0" w:space="0" w:color="auto"/>
            <w:left w:val="none" w:sz="0" w:space="0" w:color="auto"/>
            <w:bottom w:val="none" w:sz="0" w:space="0" w:color="auto"/>
            <w:right w:val="none" w:sz="0" w:space="0" w:color="auto"/>
          </w:divBdr>
        </w:div>
        <w:div w:id="1027025569">
          <w:marLeft w:val="0"/>
          <w:marRight w:val="0"/>
          <w:marTop w:val="0"/>
          <w:marBottom w:val="0"/>
          <w:divBdr>
            <w:top w:val="none" w:sz="0" w:space="0" w:color="auto"/>
            <w:left w:val="none" w:sz="0" w:space="0" w:color="auto"/>
            <w:bottom w:val="none" w:sz="0" w:space="0" w:color="auto"/>
            <w:right w:val="none" w:sz="0" w:space="0" w:color="auto"/>
          </w:divBdr>
        </w:div>
      </w:divsChild>
    </w:div>
    <w:div w:id="1873424188">
      <w:bodyDiv w:val="1"/>
      <w:marLeft w:val="0"/>
      <w:marRight w:val="0"/>
      <w:marTop w:val="0"/>
      <w:marBottom w:val="0"/>
      <w:divBdr>
        <w:top w:val="none" w:sz="0" w:space="0" w:color="auto"/>
        <w:left w:val="none" w:sz="0" w:space="0" w:color="auto"/>
        <w:bottom w:val="none" w:sz="0" w:space="0" w:color="auto"/>
        <w:right w:val="none" w:sz="0" w:space="0" w:color="auto"/>
      </w:divBdr>
    </w:div>
    <w:div w:id="1906915093">
      <w:bodyDiv w:val="1"/>
      <w:marLeft w:val="0"/>
      <w:marRight w:val="0"/>
      <w:marTop w:val="0"/>
      <w:marBottom w:val="0"/>
      <w:divBdr>
        <w:top w:val="none" w:sz="0" w:space="0" w:color="auto"/>
        <w:left w:val="none" w:sz="0" w:space="0" w:color="auto"/>
        <w:bottom w:val="none" w:sz="0" w:space="0" w:color="auto"/>
        <w:right w:val="none" w:sz="0" w:space="0" w:color="auto"/>
      </w:divBdr>
    </w:div>
    <w:div w:id="210353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rhg.com/wp-content/uploads/2016/05/AssessingCleanPowerPlan_EMI.pdf" TargetMode="External"/><Relationship Id="rId3" Type="http://schemas.openxmlformats.org/officeDocument/2006/relationships/styles" Target="styles.xml"/><Relationship Id="rId21" Type="http://schemas.openxmlformats.org/officeDocument/2006/relationships/hyperlink" Target="http://link.springer.com/article/10.1007/s12053-017-9511-x"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hyperlink" Target="http://www.rff.org/files/document/file/Burtraw_CPP%20Leakage%20160823_di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cdn.bipartisanpolicy.org/wp-content/uploads/2016/06/BPC-Energy-Clean-Power-Plan-Modeling.pdf" TargetMode="External"/><Relationship Id="rId29" Type="http://schemas.openxmlformats.org/officeDocument/2006/relationships/hyperlink" Target="https://www.epa.gov/sites/production/files/2015-08/documents/cpp-final-rule-ri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rff.org/files/document/file/160211_CPPModelingForStrategicInsights_Niemeyer_0.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iopscience.iop.org/1748-9326/8/3/035018/pdf/1748-9326_8_3_035018.pdf" TargetMode="External"/><Relationship Id="rId28" Type="http://schemas.openxmlformats.org/officeDocument/2006/relationships/hyperlink" Target="http://www.eia.gov/electricity/data/eia860m/" TargetMode="Externa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il.gatech.edu/zimbra/Marilyn.Brown@pubpolicy.gatech.edu" TargetMode="External"/><Relationship Id="rId14" Type="http://schemas.openxmlformats.org/officeDocument/2006/relationships/image" Target="media/image3.png"/><Relationship Id="rId22" Type="http://schemas.openxmlformats.org/officeDocument/2006/relationships/hyperlink" Target="http://www.catf.us/resources/filings/EGU_GHG_NSPS_Rule/CATF%20CPP%20Comments.pdf" TargetMode="External"/><Relationship Id="rId27" Type="http://schemas.openxmlformats.org/officeDocument/2006/relationships/hyperlink" Target="http://www.eia.gov/oiaf/aeo/overview/index.html" TargetMode="External"/><Relationship Id="rId30" Type="http://schemas.openxmlformats.org/officeDocument/2006/relationships/hyperlink" Target="https://www.epa.gov/sites/production/files/2015-11/documents/tsd-cpp-demand-side-ee.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265D685-7627-4D30-AF72-8AE0E9E9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10207</Words>
  <Characters>60720</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Hyman, Elizabeth R</dc:creator>
  <cp:keywords/>
  <dc:description/>
  <cp:lastModifiedBy>Hyman, Elizabeth R</cp:lastModifiedBy>
  <cp:revision>3</cp:revision>
  <cp:lastPrinted>2017-02-28T04:08:00Z</cp:lastPrinted>
  <dcterms:created xsi:type="dcterms:W3CDTF">2017-04-07T12:30:00Z</dcterms:created>
  <dcterms:modified xsi:type="dcterms:W3CDTF">2017-04-12T19:17:00Z</dcterms:modified>
</cp:coreProperties>
</file>